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64" w:rsidRDefault="0010322F" w:rsidP="00434E2F">
      <w:pPr>
        <w:jc w:val="both"/>
        <w:rPr>
          <w:rFonts w:cs="Tahoma"/>
          <w:b/>
          <w:szCs w:val="22"/>
        </w:rPr>
      </w:pPr>
      <w:r>
        <w:rPr>
          <w:rFonts w:cs="Tahoma"/>
          <w:b/>
          <w:szCs w:val="22"/>
        </w:rPr>
        <w:t xml:space="preserve">REMUNERATION: </w:t>
      </w:r>
      <w:r w:rsidR="0081519D">
        <w:rPr>
          <w:rFonts w:cs="Tahoma"/>
          <w:b/>
          <w:szCs w:val="22"/>
        </w:rPr>
        <w:t>“</w:t>
      </w:r>
      <w:r>
        <w:rPr>
          <w:rFonts w:cs="Tahoma"/>
          <w:b/>
          <w:szCs w:val="22"/>
        </w:rPr>
        <w:t>UCITS V</w:t>
      </w:r>
      <w:r w:rsidR="0081519D">
        <w:rPr>
          <w:rFonts w:cs="Tahoma"/>
          <w:b/>
          <w:szCs w:val="22"/>
        </w:rPr>
        <w:t>”</w:t>
      </w:r>
    </w:p>
    <w:p w:rsidR="00B93B64" w:rsidRDefault="00B93B64" w:rsidP="00434E2F">
      <w:pPr>
        <w:jc w:val="both"/>
        <w:rPr>
          <w:rFonts w:cs="Tahoma"/>
          <w:b/>
          <w:szCs w:val="22"/>
        </w:rPr>
      </w:pPr>
    </w:p>
    <w:p w:rsidR="00B93B64" w:rsidRDefault="00B93B64" w:rsidP="00434E2F">
      <w:pPr>
        <w:jc w:val="both"/>
        <w:rPr>
          <w:rFonts w:cs="Tahoma"/>
          <w:b/>
          <w:szCs w:val="22"/>
        </w:rPr>
      </w:pPr>
      <w:r>
        <w:rPr>
          <w:rFonts w:cs="Tahoma"/>
          <w:b/>
          <w:szCs w:val="22"/>
        </w:rPr>
        <w:t>Overview</w:t>
      </w:r>
    </w:p>
    <w:p w:rsidR="00A75D9C" w:rsidRDefault="00A75D9C" w:rsidP="00434E2F">
      <w:pPr>
        <w:jc w:val="both"/>
        <w:rPr>
          <w:rFonts w:cs="Tahoma"/>
          <w:b/>
          <w:szCs w:val="22"/>
        </w:rPr>
      </w:pPr>
    </w:p>
    <w:p w:rsidR="005F784C" w:rsidRDefault="00C355F0" w:rsidP="006D3E1D">
      <w:pPr>
        <w:jc w:val="both"/>
      </w:pPr>
      <w:r>
        <w:rPr>
          <w:rFonts w:cs="Tahoma"/>
          <w:szCs w:val="22"/>
        </w:rPr>
        <w:t xml:space="preserve">The </w:t>
      </w:r>
      <w:r w:rsidR="00A75D9C">
        <w:rPr>
          <w:rFonts w:cs="Tahoma"/>
          <w:szCs w:val="22"/>
        </w:rPr>
        <w:t xml:space="preserve">remuneration principles in the </w:t>
      </w:r>
      <w:r w:rsidR="0081519D">
        <w:rPr>
          <w:rFonts w:cs="Tahoma"/>
          <w:szCs w:val="22"/>
        </w:rPr>
        <w:t>Commission’s “</w:t>
      </w:r>
      <w:r w:rsidR="00A75D9C">
        <w:rPr>
          <w:rFonts w:cs="Tahoma"/>
          <w:szCs w:val="22"/>
        </w:rPr>
        <w:t>UCITS V</w:t>
      </w:r>
      <w:r w:rsidR="0081519D">
        <w:rPr>
          <w:rFonts w:cs="Tahoma"/>
          <w:szCs w:val="22"/>
        </w:rPr>
        <w:t>”</w:t>
      </w:r>
      <w:r w:rsidR="00A75D9C">
        <w:rPr>
          <w:rFonts w:cs="Tahoma"/>
          <w:szCs w:val="22"/>
        </w:rPr>
        <w:t xml:space="preserve"> proposal are</w:t>
      </w:r>
      <w:r>
        <w:rPr>
          <w:rFonts w:cs="Tahoma"/>
          <w:szCs w:val="22"/>
        </w:rPr>
        <w:t xml:space="preserve">, broadly, </w:t>
      </w:r>
      <w:r w:rsidR="00A75D9C">
        <w:rPr>
          <w:rFonts w:cs="Tahoma"/>
          <w:szCs w:val="22"/>
        </w:rPr>
        <w:t xml:space="preserve">copied </w:t>
      </w:r>
      <w:r>
        <w:rPr>
          <w:rFonts w:cs="Tahoma"/>
          <w:szCs w:val="22"/>
        </w:rPr>
        <w:t>from those in CRD</w:t>
      </w:r>
      <w:r w:rsidR="00A75D9C">
        <w:rPr>
          <w:rFonts w:cs="Tahoma"/>
          <w:szCs w:val="22"/>
        </w:rPr>
        <w:t xml:space="preserve">. </w:t>
      </w:r>
      <w:r w:rsidR="0081519D">
        <w:rPr>
          <w:rFonts w:cs="Tahoma"/>
          <w:szCs w:val="22"/>
        </w:rPr>
        <w:t xml:space="preserve"> </w:t>
      </w:r>
      <w:r>
        <w:rPr>
          <w:rFonts w:cs="Tahoma"/>
          <w:szCs w:val="22"/>
        </w:rPr>
        <w:t>However</w:t>
      </w:r>
      <w:r w:rsidR="0081519D">
        <w:rPr>
          <w:rFonts w:cs="Tahoma"/>
          <w:szCs w:val="22"/>
        </w:rPr>
        <w:t>,</w:t>
      </w:r>
      <w:r>
        <w:rPr>
          <w:rFonts w:cs="Tahoma"/>
          <w:szCs w:val="22"/>
        </w:rPr>
        <w:t xml:space="preserve"> whilst </w:t>
      </w:r>
      <w:r w:rsidR="005F784C">
        <w:rPr>
          <w:rFonts w:cs="Tahoma"/>
          <w:szCs w:val="22"/>
        </w:rPr>
        <w:t xml:space="preserve">the Recitals to CRD acknowledge that it may not be appropriate for </w:t>
      </w:r>
      <w:r w:rsidR="005F784C">
        <w:t>investment firms (or for small credit institutions) to apply all these principles, there is no such statement in the Recitals to UCITS V.</w:t>
      </w:r>
    </w:p>
    <w:p w:rsidR="005F784C" w:rsidRDefault="005F784C" w:rsidP="005F784C"/>
    <w:p w:rsidR="006D3E1D" w:rsidRDefault="005F784C" w:rsidP="0039339E">
      <w:pPr>
        <w:autoSpaceDE w:val="0"/>
        <w:autoSpaceDN w:val="0"/>
        <w:adjustRightInd w:val="0"/>
        <w:spacing w:after="200"/>
        <w:jc w:val="both"/>
        <w:rPr>
          <w:rFonts w:cs="Tahoma"/>
          <w:szCs w:val="22"/>
        </w:rPr>
      </w:pPr>
      <w:r>
        <w:rPr>
          <w:rFonts w:cs="Tahoma"/>
          <w:szCs w:val="22"/>
        </w:rPr>
        <w:t xml:space="preserve">We are therefore </w:t>
      </w:r>
      <w:r w:rsidR="006D3E1D">
        <w:rPr>
          <w:rFonts w:cs="Tahoma"/>
          <w:szCs w:val="22"/>
        </w:rPr>
        <w:t xml:space="preserve">concerned </w:t>
      </w:r>
      <w:r w:rsidR="00C355F0">
        <w:rPr>
          <w:rFonts w:cs="Tahoma"/>
          <w:szCs w:val="22"/>
        </w:rPr>
        <w:t xml:space="preserve">that UCITS management companies </w:t>
      </w:r>
      <w:r w:rsidR="008C0A79">
        <w:rPr>
          <w:rFonts w:cs="Tahoma"/>
          <w:szCs w:val="22"/>
        </w:rPr>
        <w:t xml:space="preserve">might </w:t>
      </w:r>
      <w:r w:rsidR="00C355F0">
        <w:rPr>
          <w:rFonts w:cs="Tahoma"/>
          <w:szCs w:val="22"/>
        </w:rPr>
        <w:t>end up with stricter remuneration requirements than investment banks</w:t>
      </w:r>
      <w:r w:rsidR="006D3E1D">
        <w:rPr>
          <w:rFonts w:cs="Tahoma"/>
          <w:szCs w:val="22"/>
        </w:rPr>
        <w:t>: clearly</w:t>
      </w:r>
      <w:r w:rsidR="0081519D">
        <w:rPr>
          <w:rFonts w:cs="Tahoma"/>
          <w:szCs w:val="22"/>
        </w:rPr>
        <w:t>, this would be</w:t>
      </w:r>
      <w:r w:rsidR="006D3E1D">
        <w:rPr>
          <w:rFonts w:cs="Tahoma"/>
          <w:szCs w:val="22"/>
        </w:rPr>
        <w:t xml:space="preserve"> inappropriate given that </w:t>
      </w:r>
      <w:r w:rsidR="0039339E" w:rsidRPr="0039339E">
        <w:rPr>
          <w:rFonts w:cs="Tahoma"/>
          <w:szCs w:val="22"/>
        </w:rPr>
        <w:t xml:space="preserve">UCITS management companies </w:t>
      </w:r>
      <w:r w:rsidR="0039339E" w:rsidRPr="00711BEF">
        <w:rPr>
          <w:rFonts w:cs="Tahoma"/>
        </w:rPr>
        <w:t xml:space="preserve">generally present less systemic risk than credit institutions, </w:t>
      </w:r>
      <w:r w:rsidR="0039339E">
        <w:rPr>
          <w:rFonts w:cs="Tahoma"/>
          <w:szCs w:val="22"/>
        </w:rPr>
        <w:t xml:space="preserve">and are subject to strong governance and disclosure requirements. </w:t>
      </w:r>
    </w:p>
    <w:p w:rsidR="00A75D9C" w:rsidRPr="00A75D9C" w:rsidRDefault="008C0A79" w:rsidP="00434E2F">
      <w:pPr>
        <w:jc w:val="both"/>
        <w:rPr>
          <w:rFonts w:cs="Tahoma"/>
          <w:szCs w:val="22"/>
        </w:rPr>
      </w:pPr>
      <w:r>
        <w:rPr>
          <w:rFonts w:cs="Tahoma"/>
          <w:szCs w:val="22"/>
        </w:rPr>
        <w:t>Also,</w:t>
      </w:r>
      <w:r w:rsidR="00C355F0">
        <w:rPr>
          <w:rFonts w:cs="Tahoma"/>
          <w:szCs w:val="22"/>
        </w:rPr>
        <w:t xml:space="preserve"> asset management gro</w:t>
      </w:r>
      <w:r>
        <w:rPr>
          <w:rFonts w:cs="Tahoma"/>
          <w:szCs w:val="22"/>
        </w:rPr>
        <w:t xml:space="preserve">ups could </w:t>
      </w:r>
      <w:r w:rsidR="00C355F0">
        <w:rPr>
          <w:rFonts w:cs="Tahoma"/>
          <w:szCs w:val="22"/>
        </w:rPr>
        <w:t>end up with a patchwork of inconsistent remuneration requirements</w:t>
      </w:r>
      <w:r>
        <w:rPr>
          <w:rFonts w:cs="Tahoma"/>
          <w:szCs w:val="22"/>
        </w:rPr>
        <w:t xml:space="preserve"> arising under different Directives:</w:t>
      </w:r>
    </w:p>
    <w:p w:rsidR="00B93B64" w:rsidRPr="0083774E" w:rsidRDefault="00B93B64" w:rsidP="00434E2F">
      <w:pPr>
        <w:jc w:val="both"/>
        <w:rPr>
          <w:rFonts w:cs="Tahoma"/>
          <w:b/>
          <w:szCs w:val="22"/>
        </w:rPr>
      </w:pPr>
    </w:p>
    <w:p w:rsidR="00F2653B" w:rsidRDefault="00F2653B" w:rsidP="00434E2F">
      <w:pPr>
        <w:jc w:val="both"/>
        <w:rPr>
          <w:rFonts w:cs="Tahoma"/>
          <w:b/>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090"/>
        <w:gridCol w:w="2090"/>
        <w:gridCol w:w="1972"/>
      </w:tblGrid>
      <w:tr w:rsidR="00F2653B" w:rsidRPr="00711BEF" w:rsidTr="009010C0">
        <w:trPr>
          <w:trHeight w:val="1427"/>
        </w:trPr>
        <w:tc>
          <w:tcPr>
            <w:tcW w:w="2461" w:type="dxa"/>
            <w:shd w:val="clear" w:color="auto" w:fill="auto"/>
            <w:noWrap/>
            <w:vAlign w:val="bottom"/>
            <w:hideMark/>
          </w:tcPr>
          <w:tbl>
            <w:tblPr>
              <w:tblW w:w="2215" w:type="dxa"/>
              <w:tblCellSpacing w:w="0" w:type="dxa"/>
              <w:tblCellMar>
                <w:left w:w="0" w:type="dxa"/>
                <w:right w:w="0" w:type="dxa"/>
              </w:tblCellMar>
              <w:tblLook w:val="04A0" w:firstRow="1" w:lastRow="0" w:firstColumn="1" w:lastColumn="0" w:noHBand="0" w:noVBand="1"/>
            </w:tblPr>
            <w:tblGrid>
              <w:gridCol w:w="2215"/>
            </w:tblGrid>
            <w:tr w:rsidR="00F2653B" w:rsidRPr="00711BEF" w:rsidTr="00F9501F">
              <w:trPr>
                <w:trHeight w:val="1368"/>
                <w:tblCellSpacing w:w="0" w:type="dxa"/>
              </w:trPr>
              <w:tc>
                <w:tcPr>
                  <w:tcW w:w="2215" w:type="dxa"/>
                  <w:shd w:val="clear" w:color="auto" w:fill="auto"/>
                  <w:noWrap/>
                  <w:vAlign w:val="center"/>
                  <w:hideMark/>
                </w:tcPr>
                <w:p w:rsidR="00F2653B" w:rsidRPr="00711BEF" w:rsidRDefault="003C229D" w:rsidP="007150A7">
                  <w:pPr>
                    <w:jc w:val="both"/>
                    <w:rPr>
                      <w:rFonts w:cs="Tahoma"/>
                    </w:rPr>
                  </w:pPr>
                  <w:r>
                    <w:rPr>
                      <w:rFonts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2540</wp:posOffset>
                            </wp:positionV>
                            <wp:extent cx="1274445" cy="711200"/>
                            <wp:effectExtent l="0" t="0" r="20955" b="317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711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pt" to="108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" strokecolor="#4579b8"/>
                        </w:pict>
                      </mc:Fallback>
                    </mc:AlternateContent>
                  </w:r>
                  <w:r>
                    <w:rPr>
                      <w:rFonts w:cs="Tahoma"/>
                      <w:noProof/>
                      <w:lang w:eastAsia="en-GB"/>
                    </w:rPr>
                    <mc:AlternateContent>
                      <mc:Choice Requires="wps">
                        <w:drawing>
                          <wp:anchor distT="0" distB="0" distL="114300" distR="114300" simplePos="0" relativeHeight="251659264" behindDoc="1" locked="0" layoutInCell="1" allowOverlap="1">
                            <wp:simplePos x="0" y="0"/>
                            <wp:positionH relativeFrom="column">
                              <wp:posOffset>586740</wp:posOffset>
                            </wp:positionH>
                            <wp:positionV relativeFrom="paragraph">
                              <wp:posOffset>-73660</wp:posOffset>
                            </wp:positionV>
                            <wp:extent cx="897255" cy="530860"/>
                            <wp:effectExtent l="0" t="4445"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55" w:rsidRDefault="00CF7855">
                                        <w:r>
                                          <w:t xml:space="preserve">Authorising </w:t>
                                        </w:r>
                                        <w:r w:rsidR="004D2A72">
                                          <w:br/>
                                        </w:r>
                                        <w:r>
                                          <w:t>Directive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2pt;margin-top:-5.8pt;width:70.65pt;height:4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igwIAAA4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" stroked="f">
                            <v:textbox>
                              <w:txbxContent>
                                <w:p w:rsidR="00CF7855" w:rsidRDefault="00CF7855">
                                  <w:r>
                                    <w:t xml:space="preserve">Authorising </w:t>
                                  </w:r>
                                  <w:r w:rsidR="004D2A72">
                                    <w:br/>
                                  </w:r>
                                  <w:r>
                                    <w:t>Directive</w:t>
                                  </w:r>
                                </w:p>
                              </w:txbxContent>
                            </v:textbox>
                          </v:shape>
                        </w:pict>
                      </mc:Fallback>
                    </mc:AlternateContent>
                  </w:r>
                  <w:r>
                    <w:rPr>
                      <w:rFonts w:cs="Tahoma"/>
                      <w:noProof/>
                      <w:lang w:eastAsia="en-GB"/>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454660</wp:posOffset>
                            </wp:positionV>
                            <wp:extent cx="723900" cy="266700"/>
                            <wp:effectExtent l="0" t="0" r="0" b="0"/>
                            <wp:wrapNone/>
                            <wp:docPr id="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55" w:rsidRPr="004D2A72" w:rsidRDefault="00CF7855" w:rsidP="00CF7855">
                                        <w:pPr>
                                          <w:pStyle w:val="NormalWeb"/>
                                          <w:rPr>
                                            <w:rFonts w:ascii="Tahoma" w:hAnsi="Tahoma" w:cs="Tahoma"/>
                                          </w:rPr>
                                        </w:pPr>
                                        <w:r w:rsidRPr="004D2A72">
                                          <w:rPr>
                                            <w:rFonts w:ascii="Tahoma" w:hAnsi="Tahoma" w:cs="Tahoma"/>
                                            <w:color w:val="000000"/>
                                            <w:sz w:val="22"/>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7" type="#_x0000_t202" style="position:absolute;left:0;text-align:left;margin-left:2.25pt;margin-top:35.8pt;width:5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QgQIAABQ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" stroked="f">
                            <v:textbox>
                              <w:txbxContent>
                                <w:p w:rsidR="00CF7855" w:rsidRPr="004D2A72" w:rsidRDefault="00CF7855" w:rsidP="00CF7855">
                                  <w:pPr>
                                    <w:pStyle w:val="NormalWeb"/>
                                    <w:rPr>
                                      <w:rFonts w:ascii="Tahoma" w:hAnsi="Tahoma" w:cs="Tahoma"/>
                                    </w:rPr>
                                  </w:pPr>
                                  <w:r w:rsidRPr="004D2A72">
                                    <w:rPr>
                                      <w:rFonts w:ascii="Tahoma" w:hAnsi="Tahoma" w:cs="Tahoma"/>
                                      <w:color w:val="000000"/>
                                      <w:sz w:val="22"/>
                                    </w:rPr>
                                    <w:t>Activity</w:t>
                                  </w:r>
                                </w:p>
                              </w:txbxContent>
                            </v:textbox>
                          </v:shape>
                        </w:pict>
                      </mc:Fallback>
                    </mc:AlternateContent>
                  </w:r>
                </w:p>
              </w:tc>
            </w:tr>
          </w:tbl>
          <w:p w:rsidR="00F2653B" w:rsidRPr="00711BEF" w:rsidRDefault="00F2653B" w:rsidP="007150A7">
            <w:pPr>
              <w:jc w:val="both"/>
              <w:rPr>
                <w:rFonts w:cs="Tahoma"/>
              </w:rPr>
            </w:pPr>
          </w:p>
        </w:tc>
        <w:tc>
          <w:tcPr>
            <w:tcW w:w="2090" w:type="dxa"/>
            <w:shd w:val="clear" w:color="auto" w:fill="auto"/>
            <w:noWrap/>
            <w:vAlign w:val="center"/>
            <w:hideMark/>
          </w:tcPr>
          <w:p w:rsidR="00F2653B" w:rsidRPr="00BC5FC8" w:rsidRDefault="00F2653B" w:rsidP="007150A7">
            <w:pPr>
              <w:jc w:val="both"/>
              <w:rPr>
                <w:rFonts w:cs="Tahoma"/>
              </w:rPr>
            </w:pPr>
            <w:proofErr w:type="spellStart"/>
            <w:r w:rsidRPr="00BC5FC8">
              <w:rPr>
                <w:rFonts w:cs="Tahoma"/>
              </w:rPr>
              <w:t>MiFID</w:t>
            </w:r>
            <w:proofErr w:type="spellEnd"/>
          </w:p>
        </w:tc>
        <w:tc>
          <w:tcPr>
            <w:tcW w:w="2090" w:type="dxa"/>
            <w:tcBorders>
              <w:bottom w:val="single" w:sz="4" w:space="0" w:color="auto"/>
            </w:tcBorders>
            <w:shd w:val="clear" w:color="auto" w:fill="auto"/>
            <w:noWrap/>
            <w:vAlign w:val="center"/>
            <w:hideMark/>
          </w:tcPr>
          <w:p w:rsidR="00F2653B" w:rsidRPr="00BC5FC8" w:rsidRDefault="00F2653B" w:rsidP="007150A7">
            <w:pPr>
              <w:jc w:val="both"/>
              <w:rPr>
                <w:rFonts w:cs="Tahoma"/>
              </w:rPr>
            </w:pPr>
            <w:r w:rsidRPr="00BC5FC8">
              <w:rPr>
                <w:rFonts w:cs="Tahoma"/>
              </w:rPr>
              <w:t>AIFMD</w:t>
            </w:r>
          </w:p>
        </w:tc>
        <w:tc>
          <w:tcPr>
            <w:tcW w:w="1972" w:type="dxa"/>
            <w:tcBorders>
              <w:bottom w:val="single" w:sz="4" w:space="0" w:color="auto"/>
            </w:tcBorders>
            <w:shd w:val="clear" w:color="auto" w:fill="auto"/>
            <w:noWrap/>
            <w:vAlign w:val="center"/>
            <w:hideMark/>
          </w:tcPr>
          <w:p w:rsidR="00F2653B" w:rsidRPr="00BC5FC8" w:rsidRDefault="00F2653B" w:rsidP="007150A7">
            <w:pPr>
              <w:jc w:val="both"/>
              <w:rPr>
                <w:rFonts w:cs="Tahoma"/>
              </w:rPr>
            </w:pPr>
            <w:r w:rsidRPr="00BC5FC8">
              <w:rPr>
                <w:rFonts w:cs="Tahoma"/>
              </w:rPr>
              <w:t>UCITS</w:t>
            </w:r>
          </w:p>
        </w:tc>
      </w:tr>
      <w:tr w:rsidR="00F2653B" w:rsidRPr="00711BEF" w:rsidTr="009010C0">
        <w:trPr>
          <w:trHeight w:val="1427"/>
        </w:trPr>
        <w:tc>
          <w:tcPr>
            <w:tcW w:w="2461" w:type="dxa"/>
            <w:shd w:val="clear" w:color="auto" w:fill="auto"/>
            <w:noWrap/>
            <w:vAlign w:val="center"/>
            <w:hideMark/>
          </w:tcPr>
          <w:p w:rsidR="00F2653B" w:rsidRPr="00BC5FC8" w:rsidRDefault="00F2653B" w:rsidP="007150A7">
            <w:pPr>
              <w:jc w:val="both"/>
              <w:rPr>
                <w:rFonts w:cs="Tahoma"/>
              </w:rPr>
            </w:pPr>
            <w:r w:rsidRPr="00BC5FC8">
              <w:rPr>
                <w:rFonts w:cs="Tahoma"/>
              </w:rPr>
              <w:t>Collective Management</w:t>
            </w:r>
          </w:p>
        </w:tc>
        <w:tc>
          <w:tcPr>
            <w:tcW w:w="2090" w:type="dxa"/>
            <w:tcBorders>
              <w:bottom w:val="single" w:sz="4" w:space="0" w:color="auto"/>
            </w:tcBorders>
            <w:shd w:val="clear" w:color="auto" w:fill="auto"/>
            <w:noWrap/>
            <w:vAlign w:val="center"/>
            <w:hideMark/>
          </w:tcPr>
          <w:p w:rsidR="00F2653B" w:rsidRPr="00711BEF" w:rsidRDefault="00F2653B" w:rsidP="007150A7">
            <w:pPr>
              <w:jc w:val="both"/>
              <w:rPr>
                <w:rFonts w:cs="Tahoma"/>
              </w:rPr>
            </w:pPr>
            <w:r w:rsidRPr="00711BEF">
              <w:rPr>
                <w:rFonts w:cs="Tahoma"/>
              </w:rPr>
              <w:t>N/A</w:t>
            </w:r>
          </w:p>
        </w:tc>
        <w:tc>
          <w:tcPr>
            <w:tcW w:w="2090" w:type="dxa"/>
            <w:tcBorders>
              <w:bottom w:val="single" w:sz="4" w:space="0" w:color="auto"/>
            </w:tcBorders>
            <w:shd w:val="pct5" w:color="auto" w:fill="F2DBDB" w:themeFill="accent2" w:themeFillTint="33"/>
            <w:vAlign w:val="center"/>
            <w:hideMark/>
          </w:tcPr>
          <w:p w:rsidR="00F2653B" w:rsidRPr="00711BEF" w:rsidRDefault="00F2653B" w:rsidP="007150A7">
            <w:pPr>
              <w:jc w:val="both"/>
              <w:rPr>
                <w:rFonts w:cs="Tahoma"/>
              </w:rPr>
            </w:pPr>
            <w:r w:rsidRPr="00711BEF">
              <w:rPr>
                <w:rFonts w:cs="Tahoma"/>
              </w:rPr>
              <w:t>ESMA                                        AIFMD              Remuneration Guidelines</w:t>
            </w:r>
          </w:p>
        </w:tc>
        <w:tc>
          <w:tcPr>
            <w:tcW w:w="1972" w:type="dxa"/>
            <w:tcBorders>
              <w:bottom w:val="single" w:sz="4" w:space="0" w:color="auto"/>
            </w:tcBorders>
            <w:shd w:val="pct15" w:color="auto" w:fill="D99594" w:themeFill="accent2" w:themeFillTint="99"/>
            <w:vAlign w:val="center"/>
            <w:hideMark/>
          </w:tcPr>
          <w:p w:rsidR="00F2653B" w:rsidRPr="00711BEF" w:rsidRDefault="00F2653B" w:rsidP="007150A7">
            <w:pPr>
              <w:rPr>
                <w:rFonts w:cs="Tahoma"/>
              </w:rPr>
            </w:pPr>
            <w:r w:rsidRPr="00711BEF">
              <w:rPr>
                <w:rFonts w:cs="Tahoma"/>
              </w:rPr>
              <w:t>Expect</w:t>
            </w:r>
            <w:r>
              <w:rPr>
                <w:rFonts w:cs="Tahoma"/>
              </w:rPr>
              <w:t>ed</w:t>
            </w:r>
            <w:r w:rsidRPr="00711BEF">
              <w:rPr>
                <w:rFonts w:cs="Tahoma"/>
              </w:rPr>
              <w:t xml:space="preserve">                                  ESMA                                UCITS V              Remuneration Guidelines</w:t>
            </w:r>
          </w:p>
        </w:tc>
      </w:tr>
      <w:tr w:rsidR="007614E8" w:rsidRPr="00711BEF" w:rsidTr="009010C0">
        <w:trPr>
          <w:trHeight w:val="1427"/>
        </w:trPr>
        <w:tc>
          <w:tcPr>
            <w:tcW w:w="2461" w:type="dxa"/>
            <w:shd w:val="clear" w:color="auto" w:fill="auto"/>
            <w:noWrap/>
            <w:vAlign w:val="center"/>
            <w:hideMark/>
          </w:tcPr>
          <w:p w:rsidR="00F2653B" w:rsidRPr="00BC5FC8" w:rsidRDefault="00F2653B" w:rsidP="007150A7">
            <w:pPr>
              <w:jc w:val="both"/>
              <w:rPr>
                <w:rFonts w:cs="Tahoma"/>
              </w:rPr>
            </w:pPr>
            <w:r w:rsidRPr="00BC5FC8">
              <w:rPr>
                <w:rFonts w:cs="Tahoma"/>
              </w:rPr>
              <w:t>Portfolio Management</w:t>
            </w:r>
          </w:p>
        </w:tc>
        <w:tc>
          <w:tcPr>
            <w:tcW w:w="2090" w:type="dxa"/>
            <w:shd w:val="pct15" w:color="auto" w:fill="FABF8F" w:themeFill="accent6" w:themeFillTint="99"/>
            <w:vAlign w:val="center"/>
            <w:hideMark/>
          </w:tcPr>
          <w:p w:rsidR="00F2653B" w:rsidRPr="00711BEF" w:rsidRDefault="00F2653B" w:rsidP="007150A7">
            <w:pPr>
              <w:rPr>
                <w:rFonts w:cs="Tahoma"/>
              </w:rPr>
            </w:pPr>
            <w:r w:rsidRPr="00711BEF">
              <w:rPr>
                <w:rFonts w:cs="Tahoma"/>
              </w:rPr>
              <w:t>EBA (CEBS)                             CRD Guidelines</w:t>
            </w:r>
          </w:p>
          <w:p w:rsidR="00F2653B" w:rsidRPr="00711BEF" w:rsidRDefault="00F2653B" w:rsidP="007150A7">
            <w:pPr>
              <w:rPr>
                <w:rFonts w:cs="Tahoma"/>
                <w:b/>
              </w:rPr>
            </w:pPr>
            <w:r w:rsidRPr="00711BEF">
              <w:rPr>
                <w:rFonts w:cs="Tahoma"/>
                <w:b/>
              </w:rPr>
              <w:t>AND</w:t>
            </w:r>
          </w:p>
          <w:p w:rsidR="00F2653B" w:rsidRPr="00711BEF" w:rsidRDefault="00F2653B" w:rsidP="007150A7">
            <w:pPr>
              <w:rPr>
                <w:rFonts w:cs="Tahoma"/>
              </w:rPr>
            </w:pPr>
            <w:r>
              <w:rPr>
                <w:rFonts w:cs="Tahoma"/>
              </w:rPr>
              <w:t xml:space="preserve">Proposed guidelines from ESMA </w:t>
            </w:r>
          </w:p>
          <w:p w:rsidR="00F2653B" w:rsidRPr="00711BEF" w:rsidRDefault="00F2653B" w:rsidP="007150A7">
            <w:pPr>
              <w:jc w:val="both"/>
              <w:rPr>
                <w:rFonts w:cs="Tahoma"/>
              </w:rPr>
            </w:pPr>
          </w:p>
        </w:tc>
        <w:tc>
          <w:tcPr>
            <w:tcW w:w="2090" w:type="dxa"/>
            <w:shd w:val="pct45" w:color="auto" w:fill="CCC0D9" w:themeFill="accent4" w:themeFillTint="66"/>
            <w:vAlign w:val="center"/>
            <w:hideMark/>
          </w:tcPr>
          <w:p w:rsidR="00F2653B" w:rsidRPr="00711BEF" w:rsidRDefault="00F2653B" w:rsidP="00B93B64">
            <w:pPr>
              <w:rPr>
                <w:rFonts w:cs="Tahoma"/>
              </w:rPr>
            </w:pPr>
            <w:r>
              <w:rPr>
                <w:rFonts w:cs="Tahoma"/>
              </w:rPr>
              <w:t>Proposed guidelines</w:t>
            </w:r>
            <w:r w:rsidR="00B93B64">
              <w:rPr>
                <w:rFonts w:cs="Tahoma"/>
              </w:rPr>
              <w:t xml:space="preserve"> </w:t>
            </w:r>
            <w:r>
              <w:rPr>
                <w:rFonts w:cs="Tahoma"/>
              </w:rPr>
              <w:t>from ESMA</w:t>
            </w:r>
          </w:p>
        </w:tc>
        <w:tc>
          <w:tcPr>
            <w:tcW w:w="1972" w:type="dxa"/>
            <w:shd w:val="pct45" w:color="auto" w:fill="CCC0D9" w:themeFill="accent4" w:themeFillTint="66"/>
            <w:vAlign w:val="center"/>
            <w:hideMark/>
          </w:tcPr>
          <w:p w:rsidR="00F2653B" w:rsidRPr="00711BEF" w:rsidRDefault="00F2653B" w:rsidP="007150A7">
            <w:pPr>
              <w:rPr>
                <w:rFonts w:cs="Tahoma"/>
              </w:rPr>
            </w:pPr>
            <w:r>
              <w:rPr>
                <w:rFonts w:cs="Tahoma"/>
              </w:rPr>
              <w:t>Proposed guidelines from ESMA</w:t>
            </w:r>
          </w:p>
        </w:tc>
      </w:tr>
    </w:tbl>
    <w:p w:rsidR="00F2653B" w:rsidRDefault="00F2653B" w:rsidP="00434E2F">
      <w:pPr>
        <w:jc w:val="both"/>
        <w:rPr>
          <w:rFonts w:cs="Tahoma"/>
          <w:b/>
          <w:szCs w:val="22"/>
        </w:rPr>
      </w:pPr>
    </w:p>
    <w:p w:rsidR="008C0A79" w:rsidRDefault="008C0A79" w:rsidP="00434E2F">
      <w:pPr>
        <w:jc w:val="both"/>
        <w:rPr>
          <w:rFonts w:cs="Tahoma"/>
          <w:szCs w:val="22"/>
        </w:rPr>
      </w:pPr>
      <w:r>
        <w:rPr>
          <w:rFonts w:cs="Tahoma"/>
          <w:szCs w:val="22"/>
        </w:rPr>
        <w:t xml:space="preserve">It is important that a consistent approach is taken across the board and </w:t>
      </w:r>
      <w:r w:rsidR="000E1274">
        <w:rPr>
          <w:rFonts w:cs="Tahoma"/>
          <w:szCs w:val="22"/>
        </w:rPr>
        <w:t>it will sometimes be proportionate not to apply every principle to which a G-SIFI is subject given the significant differences between the business models and sources of risks at asset managers</w:t>
      </w:r>
      <w:r>
        <w:rPr>
          <w:rFonts w:cs="Tahoma"/>
          <w:szCs w:val="22"/>
        </w:rPr>
        <w:t>.</w:t>
      </w:r>
    </w:p>
    <w:p w:rsidR="008C0A79" w:rsidRDefault="008C0A79" w:rsidP="00434E2F">
      <w:pPr>
        <w:jc w:val="both"/>
        <w:rPr>
          <w:rFonts w:cs="Tahoma"/>
          <w:szCs w:val="22"/>
        </w:rPr>
      </w:pPr>
    </w:p>
    <w:p w:rsidR="00F32970" w:rsidRPr="00434E2F" w:rsidRDefault="00434E2F" w:rsidP="00434E2F">
      <w:pPr>
        <w:jc w:val="both"/>
        <w:rPr>
          <w:rFonts w:cs="Tahoma"/>
          <w:b/>
          <w:szCs w:val="22"/>
        </w:rPr>
      </w:pPr>
      <w:r>
        <w:rPr>
          <w:rFonts w:cs="Tahoma"/>
          <w:b/>
          <w:szCs w:val="22"/>
        </w:rPr>
        <w:t>Current Practices</w:t>
      </w:r>
    </w:p>
    <w:p w:rsidR="00DF56DB" w:rsidRDefault="00DF56DB" w:rsidP="00434E2F">
      <w:pPr>
        <w:jc w:val="both"/>
        <w:rPr>
          <w:rFonts w:cs="Tahoma"/>
          <w:szCs w:val="22"/>
        </w:rPr>
      </w:pPr>
    </w:p>
    <w:p w:rsidR="008C0A79" w:rsidRPr="00434E2F" w:rsidRDefault="008C0A79" w:rsidP="00434E2F">
      <w:pPr>
        <w:jc w:val="both"/>
        <w:rPr>
          <w:rFonts w:cs="Tahoma"/>
          <w:szCs w:val="22"/>
        </w:rPr>
      </w:pPr>
      <w:r>
        <w:rPr>
          <w:rFonts w:cs="Tahoma"/>
          <w:szCs w:val="22"/>
        </w:rPr>
        <w:t xml:space="preserve">Our members currently have </w:t>
      </w:r>
      <w:r w:rsidR="0081519D">
        <w:rPr>
          <w:rFonts w:cs="Tahoma"/>
          <w:szCs w:val="22"/>
        </w:rPr>
        <w:t xml:space="preserve">in place </w:t>
      </w:r>
      <w:r>
        <w:rPr>
          <w:rFonts w:cs="Tahoma"/>
          <w:szCs w:val="22"/>
        </w:rPr>
        <w:t>group-wide policies</w:t>
      </w:r>
      <w:r w:rsidR="0081519D">
        <w:rPr>
          <w:rFonts w:cs="Tahoma"/>
          <w:szCs w:val="22"/>
        </w:rPr>
        <w:t>,</w:t>
      </w:r>
      <w:r>
        <w:rPr>
          <w:rFonts w:cs="Tahoma"/>
          <w:szCs w:val="22"/>
        </w:rPr>
        <w:t xml:space="preserve"> which comply with the CEB</w:t>
      </w:r>
      <w:r w:rsidR="002C1936">
        <w:rPr>
          <w:rFonts w:cs="Tahoma"/>
          <w:szCs w:val="22"/>
        </w:rPr>
        <w:t>S</w:t>
      </w:r>
      <w:r>
        <w:rPr>
          <w:rFonts w:cs="Tahoma"/>
          <w:szCs w:val="22"/>
        </w:rPr>
        <w:t xml:space="preserve"> guidelines, </w:t>
      </w:r>
      <w:r w:rsidR="000E1274">
        <w:rPr>
          <w:rFonts w:cs="Tahoma"/>
          <w:szCs w:val="22"/>
        </w:rPr>
        <w:t xml:space="preserve">and </w:t>
      </w:r>
      <w:r w:rsidR="0081519D">
        <w:rPr>
          <w:rFonts w:cs="Tahoma"/>
          <w:szCs w:val="22"/>
        </w:rPr>
        <w:t xml:space="preserve">which </w:t>
      </w:r>
      <w:r w:rsidR="000E1274">
        <w:rPr>
          <w:rFonts w:cs="Tahoma"/>
          <w:szCs w:val="22"/>
        </w:rPr>
        <w:t xml:space="preserve">therefore </w:t>
      </w:r>
      <w:r>
        <w:rPr>
          <w:rFonts w:cs="Tahoma"/>
          <w:szCs w:val="22"/>
        </w:rPr>
        <w:t xml:space="preserve">do not </w:t>
      </w:r>
      <w:r w:rsidR="000E1274">
        <w:rPr>
          <w:rFonts w:cs="Tahoma"/>
          <w:szCs w:val="22"/>
        </w:rPr>
        <w:t xml:space="preserve">have to </w:t>
      </w:r>
      <w:r>
        <w:rPr>
          <w:rFonts w:cs="Tahoma"/>
          <w:szCs w:val="22"/>
        </w:rPr>
        <w:t xml:space="preserve">meet </w:t>
      </w:r>
      <w:r w:rsidR="00355D71">
        <w:rPr>
          <w:rFonts w:cs="Tahoma"/>
          <w:szCs w:val="22"/>
        </w:rPr>
        <w:t>e</w:t>
      </w:r>
      <w:r w:rsidR="000E1274">
        <w:rPr>
          <w:rFonts w:cs="Tahoma"/>
          <w:szCs w:val="22"/>
        </w:rPr>
        <w:t xml:space="preserve">very one of </w:t>
      </w:r>
      <w:r>
        <w:rPr>
          <w:rFonts w:cs="Tahoma"/>
          <w:szCs w:val="22"/>
        </w:rPr>
        <w:t xml:space="preserve">the prescriptive requirements proposed (in relation to </w:t>
      </w:r>
      <w:r w:rsidR="000E1274">
        <w:rPr>
          <w:rFonts w:cs="Tahoma"/>
          <w:szCs w:val="22"/>
        </w:rPr>
        <w:t xml:space="preserve">quantitative minima for </w:t>
      </w:r>
      <w:r>
        <w:rPr>
          <w:rFonts w:cs="Tahoma"/>
          <w:szCs w:val="22"/>
        </w:rPr>
        <w:t xml:space="preserve">deferral and retention for example). </w:t>
      </w:r>
      <w:r w:rsidR="00945BBE">
        <w:rPr>
          <w:rFonts w:cs="Tahoma"/>
          <w:szCs w:val="22"/>
        </w:rPr>
        <w:t xml:space="preserve"> </w:t>
      </w:r>
      <w:r>
        <w:rPr>
          <w:rFonts w:cs="Tahoma"/>
          <w:szCs w:val="22"/>
        </w:rPr>
        <w:t xml:space="preserve">Typical policies amongst members are as follows: </w:t>
      </w:r>
    </w:p>
    <w:p w:rsidR="00DF56DB" w:rsidRPr="00434E2F" w:rsidRDefault="00DF56DB" w:rsidP="00434E2F">
      <w:pPr>
        <w:jc w:val="both"/>
        <w:rPr>
          <w:rFonts w:cs="Tahoma"/>
          <w:szCs w:val="22"/>
        </w:rPr>
      </w:pPr>
    </w:p>
    <w:p w:rsidR="00AF218D" w:rsidRPr="00434E2F" w:rsidRDefault="002C1936" w:rsidP="002C1936">
      <w:pPr>
        <w:pStyle w:val="ListParagraph"/>
        <w:numPr>
          <w:ilvl w:val="0"/>
          <w:numId w:val="1"/>
        </w:numPr>
        <w:ind w:left="426" w:hanging="426"/>
        <w:jc w:val="both"/>
        <w:rPr>
          <w:rFonts w:cs="Tahoma"/>
          <w:b/>
          <w:szCs w:val="22"/>
        </w:rPr>
      </w:pPr>
      <w:r>
        <w:rPr>
          <w:rFonts w:cs="Tahoma"/>
          <w:b/>
          <w:szCs w:val="22"/>
        </w:rPr>
        <w:br w:type="column"/>
      </w:r>
      <w:r w:rsidR="00AF218D" w:rsidRPr="00434E2F">
        <w:rPr>
          <w:rFonts w:cs="Tahoma"/>
          <w:b/>
          <w:szCs w:val="22"/>
        </w:rPr>
        <w:lastRenderedPageBreak/>
        <w:t>Elements of Remuneration</w:t>
      </w:r>
    </w:p>
    <w:p w:rsidR="00434E2F" w:rsidRDefault="00434E2F" w:rsidP="002C1936">
      <w:pPr>
        <w:pStyle w:val="ListParagraph"/>
        <w:ind w:left="426" w:hanging="426"/>
        <w:jc w:val="both"/>
        <w:rPr>
          <w:rFonts w:cs="Tahoma"/>
          <w:szCs w:val="22"/>
        </w:rPr>
      </w:pPr>
    </w:p>
    <w:p w:rsidR="00AF218D" w:rsidRPr="00434E2F" w:rsidRDefault="00945BBE" w:rsidP="002C1936">
      <w:pPr>
        <w:pStyle w:val="ListParagraph"/>
        <w:ind w:left="426"/>
        <w:jc w:val="both"/>
        <w:rPr>
          <w:rFonts w:cs="Tahoma"/>
          <w:szCs w:val="22"/>
        </w:rPr>
      </w:pPr>
      <w:r>
        <w:rPr>
          <w:rFonts w:cs="Tahoma"/>
          <w:szCs w:val="22"/>
        </w:rPr>
        <w:t xml:space="preserve">Although </w:t>
      </w:r>
      <w:r w:rsidR="00AF218D" w:rsidRPr="00434E2F">
        <w:rPr>
          <w:rFonts w:cs="Tahoma"/>
          <w:szCs w:val="22"/>
        </w:rPr>
        <w:t>all remuneration policies include a base salary for relevant staff and some form of discretionary bonus, most also include a long</w:t>
      </w:r>
      <w:r>
        <w:rPr>
          <w:rFonts w:cs="Tahoma"/>
          <w:szCs w:val="22"/>
        </w:rPr>
        <w:t>-</w:t>
      </w:r>
      <w:r w:rsidR="00AF218D" w:rsidRPr="00434E2F">
        <w:rPr>
          <w:rFonts w:cs="Tahoma"/>
          <w:szCs w:val="22"/>
        </w:rPr>
        <w:t>term incentive plan</w:t>
      </w:r>
      <w:r w:rsidR="00434E2F" w:rsidRPr="00434E2F">
        <w:rPr>
          <w:rFonts w:cs="Tahoma"/>
          <w:szCs w:val="22"/>
        </w:rPr>
        <w:t>.</w:t>
      </w:r>
      <w:r w:rsidR="00434E2F">
        <w:rPr>
          <w:rFonts w:cs="Tahoma"/>
          <w:szCs w:val="22"/>
        </w:rPr>
        <w:t xml:space="preserve"> </w:t>
      </w:r>
      <w:r w:rsidR="00AF218D" w:rsidRPr="00434E2F">
        <w:rPr>
          <w:rFonts w:cs="Tahoma"/>
          <w:szCs w:val="22"/>
        </w:rPr>
        <w:t>These are generally determined on both qualitative and quantitative bases.</w:t>
      </w:r>
    </w:p>
    <w:p w:rsidR="00AF218D" w:rsidRPr="00434E2F" w:rsidRDefault="00AF218D" w:rsidP="002C1936">
      <w:pPr>
        <w:ind w:left="426" w:hanging="426"/>
        <w:jc w:val="both"/>
        <w:rPr>
          <w:rFonts w:cs="Tahoma"/>
          <w:szCs w:val="22"/>
        </w:rPr>
      </w:pPr>
    </w:p>
    <w:p w:rsidR="00AF218D" w:rsidRPr="00434E2F" w:rsidRDefault="00AF218D" w:rsidP="002C1936">
      <w:pPr>
        <w:pStyle w:val="ListParagraph"/>
        <w:numPr>
          <w:ilvl w:val="0"/>
          <w:numId w:val="1"/>
        </w:numPr>
        <w:ind w:left="426" w:hanging="426"/>
        <w:jc w:val="both"/>
        <w:rPr>
          <w:rFonts w:cs="Tahoma"/>
          <w:b/>
          <w:szCs w:val="22"/>
        </w:rPr>
      </w:pPr>
      <w:r w:rsidRPr="00434E2F">
        <w:rPr>
          <w:rFonts w:cs="Tahoma"/>
          <w:b/>
          <w:szCs w:val="22"/>
        </w:rPr>
        <w:t xml:space="preserve">Factors Considered </w:t>
      </w:r>
    </w:p>
    <w:p w:rsidR="00434E2F" w:rsidRDefault="00434E2F" w:rsidP="002C1936">
      <w:pPr>
        <w:pStyle w:val="ListParagraph"/>
        <w:ind w:left="426" w:hanging="426"/>
        <w:jc w:val="both"/>
        <w:rPr>
          <w:rFonts w:cs="Tahoma"/>
          <w:szCs w:val="22"/>
        </w:rPr>
      </w:pPr>
    </w:p>
    <w:p w:rsidR="0022572B" w:rsidRPr="00434E2F" w:rsidRDefault="0022572B" w:rsidP="002C1936">
      <w:pPr>
        <w:pStyle w:val="ListParagraph"/>
        <w:ind w:left="426"/>
        <w:jc w:val="both"/>
        <w:rPr>
          <w:rFonts w:cs="Tahoma"/>
          <w:szCs w:val="22"/>
        </w:rPr>
      </w:pPr>
      <w:r w:rsidRPr="00434E2F">
        <w:rPr>
          <w:rFonts w:cs="Tahoma"/>
          <w:szCs w:val="22"/>
        </w:rPr>
        <w:t>Most firms will apply some form of benchmark against which performance is measured</w:t>
      </w:r>
      <w:r w:rsidR="00945BBE">
        <w:rPr>
          <w:rFonts w:cs="Tahoma"/>
          <w:szCs w:val="22"/>
        </w:rPr>
        <w:t>.  T</w:t>
      </w:r>
      <w:r w:rsidRPr="00434E2F">
        <w:rPr>
          <w:rFonts w:cs="Tahoma"/>
          <w:szCs w:val="22"/>
        </w:rPr>
        <w:t xml:space="preserve">his can be a comparison with peer performance, absolute return or the general growth of </w:t>
      </w:r>
      <w:proofErr w:type="spellStart"/>
      <w:r w:rsidRPr="00434E2F">
        <w:rPr>
          <w:rFonts w:cs="Tahoma"/>
          <w:szCs w:val="22"/>
        </w:rPr>
        <w:t>AuM</w:t>
      </w:r>
      <w:proofErr w:type="spellEnd"/>
      <w:r w:rsidRPr="00434E2F">
        <w:rPr>
          <w:rFonts w:cs="Tahoma"/>
          <w:szCs w:val="22"/>
        </w:rPr>
        <w:t xml:space="preserve">. </w:t>
      </w:r>
      <w:r w:rsidR="00945BBE">
        <w:rPr>
          <w:rFonts w:cs="Tahoma"/>
          <w:szCs w:val="22"/>
        </w:rPr>
        <w:t xml:space="preserve"> </w:t>
      </w:r>
      <w:r w:rsidRPr="00434E2F">
        <w:rPr>
          <w:rFonts w:cs="Tahoma"/>
          <w:szCs w:val="22"/>
        </w:rPr>
        <w:t>Most firms measure this performance over a number of years, e.g. performance against the chosen benchmark over 1, 3 and 5 years.</w:t>
      </w:r>
      <w:r w:rsidR="00434E2F">
        <w:rPr>
          <w:rFonts w:cs="Tahoma"/>
          <w:szCs w:val="22"/>
        </w:rPr>
        <w:t xml:space="preserve"> </w:t>
      </w:r>
      <w:r w:rsidR="00945BBE">
        <w:rPr>
          <w:rFonts w:cs="Tahoma"/>
          <w:szCs w:val="22"/>
        </w:rPr>
        <w:t xml:space="preserve"> </w:t>
      </w:r>
      <w:r w:rsidRPr="00434E2F">
        <w:rPr>
          <w:rFonts w:cs="Tahoma"/>
          <w:szCs w:val="22"/>
        </w:rPr>
        <w:t>Other firms use qualitative factors or elements of company performance.</w:t>
      </w:r>
    </w:p>
    <w:p w:rsidR="0022572B" w:rsidRPr="00434E2F" w:rsidRDefault="0022572B" w:rsidP="002C1936">
      <w:pPr>
        <w:ind w:left="426" w:hanging="426"/>
        <w:jc w:val="both"/>
        <w:rPr>
          <w:rFonts w:cs="Tahoma"/>
          <w:szCs w:val="22"/>
        </w:rPr>
      </w:pPr>
    </w:p>
    <w:p w:rsidR="0022572B" w:rsidRPr="00434E2F" w:rsidRDefault="0022572B" w:rsidP="002C1936">
      <w:pPr>
        <w:pStyle w:val="ListParagraph"/>
        <w:numPr>
          <w:ilvl w:val="0"/>
          <w:numId w:val="1"/>
        </w:numPr>
        <w:ind w:left="426" w:hanging="426"/>
        <w:jc w:val="both"/>
        <w:rPr>
          <w:rFonts w:cs="Tahoma"/>
          <w:b/>
          <w:szCs w:val="22"/>
        </w:rPr>
      </w:pPr>
      <w:r w:rsidRPr="00434E2F">
        <w:rPr>
          <w:rFonts w:cs="Tahoma"/>
          <w:b/>
          <w:szCs w:val="22"/>
        </w:rPr>
        <w:t>How the bonus is paid</w:t>
      </w:r>
    </w:p>
    <w:p w:rsidR="00434E2F" w:rsidRDefault="00434E2F" w:rsidP="002C1936">
      <w:pPr>
        <w:pStyle w:val="ListParagraph"/>
        <w:ind w:left="426" w:hanging="426"/>
        <w:jc w:val="both"/>
        <w:rPr>
          <w:rFonts w:cs="Tahoma"/>
          <w:szCs w:val="22"/>
        </w:rPr>
      </w:pPr>
    </w:p>
    <w:p w:rsidR="0022572B" w:rsidRPr="00434E2F" w:rsidRDefault="0022572B" w:rsidP="002C1936">
      <w:pPr>
        <w:pStyle w:val="ListParagraph"/>
        <w:ind w:left="426"/>
        <w:jc w:val="both"/>
        <w:rPr>
          <w:rFonts w:cs="Tahoma"/>
          <w:szCs w:val="22"/>
        </w:rPr>
      </w:pPr>
      <w:r w:rsidRPr="00434E2F">
        <w:rPr>
          <w:rFonts w:cs="Tahoma"/>
          <w:szCs w:val="22"/>
        </w:rPr>
        <w:t xml:space="preserve">While most firms will pay some of the bonus in cash, most will provide some form of deferred element. </w:t>
      </w:r>
      <w:r w:rsidR="00945BBE">
        <w:rPr>
          <w:rFonts w:cs="Tahoma"/>
          <w:szCs w:val="22"/>
        </w:rPr>
        <w:t xml:space="preserve"> </w:t>
      </w:r>
      <w:r w:rsidRPr="00434E2F">
        <w:rPr>
          <w:rFonts w:cs="Tahoma"/>
          <w:szCs w:val="22"/>
        </w:rPr>
        <w:t>This can take the form of deferred cash, company shares or units in funds.</w:t>
      </w:r>
      <w:r w:rsidR="00434E2F">
        <w:rPr>
          <w:rFonts w:cs="Tahoma"/>
          <w:szCs w:val="22"/>
        </w:rPr>
        <w:t xml:space="preserve"> </w:t>
      </w:r>
      <w:r w:rsidR="00945BBE">
        <w:rPr>
          <w:rFonts w:cs="Tahoma"/>
          <w:szCs w:val="22"/>
        </w:rPr>
        <w:t xml:space="preserve"> </w:t>
      </w:r>
      <w:r w:rsidRPr="00434E2F">
        <w:rPr>
          <w:rFonts w:cs="Tahoma"/>
          <w:szCs w:val="22"/>
        </w:rPr>
        <w:t>Most firms have a 3</w:t>
      </w:r>
      <w:r w:rsidR="00945BBE">
        <w:rPr>
          <w:rFonts w:cs="Tahoma"/>
          <w:szCs w:val="22"/>
        </w:rPr>
        <w:t>-</w:t>
      </w:r>
      <w:r w:rsidRPr="00434E2F">
        <w:rPr>
          <w:rFonts w:cs="Tahoma"/>
          <w:szCs w:val="22"/>
        </w:rPr>
        <w:t xml:space="preserve">year vesting period for deferred elements, although some use other periods, and a few have </w:t>
      </w:r>
      <w:proofErr w:type="spellStart"/>
      <w:r w:rsidRPr="00434E2F">
        <w:rPr>
          <w:rFonts w:cs="Tahoma"/>
          <w:szCs w:val="22"/>
        </w:rPr>
        <w:t>clawback</w:t>
      </w:r>
      <w:proofErr w:type="spellEnd"/>
      <w:r w:rsidRPr="00434E2F">
        <w:rPr>
          <w:rFonts w:cs="Tahoma"/>
          <w:szCs w:val="22"/>
        </w:rPr>
        <w:t xml:space="preserve"> provisions. </w:t>
      </w:r>
    </w:p>
    <w:p w:rsidR="00434E2F" w:rsidRDefault="00434E2F" w:rsidP="002C1936">
      <w:pPr>
        <w:ind w:left="426" w:hanging="426"/>
        <w:jc w:val="both"/>
        <w:rPr>
          <w:rFonts w:cs="Tahoma"/>
          <w:szCs w:val="22"/>
        </w:rPr>
      </w:pPr>
    </w:p>
    <w:p w:rsidR="00434E2F" w:rsidRDefault="00434E2F" w:rsidP="002C1936">
      <w:pPr>
        <w:pStyle w:val="ListParagraph"/>
        <w:numPr>
          <w:ilvl w:val="0"/>
          <w:numId w:val="1"/>
        </w:numPr>
        <w:ind w:left="426" w:hanging="426"/>
        <w:jc w:val="both"/>
        <w:rPr>
          <w:rFonts w:cs="Tahoma"/>
          <w:b/>
          <w:szCs w:val="22"/>
        </w:rPr>
      </w:pPr>
      <w:r w:rsidRPr="00434E2F">
        <w:rPr>
          <w:rFonts w:cs="Tahoma"/>
          <w:b/>
          <w:szCs w:val="22"/>
        </w:rPr>
        <w:t>Remuneration Committees</w:t>
      </w:r>
    </w:p>
    <w:p w:rsidR="00461C86" w:rsidRDefault="00461C86" w:rsidP="002C1936">
      <w:pPr>
        <w:ind w:left="426" w:hanging="426"/>
        <w:jc w:val="both"/>
        <w:rPr>
          <w:rFonts w:cs="Tahoma"/>
          <w:b/>
          <w:szCs w:val="22"/>
        </w:rPr>
      </w:pPr>
    </w:p>
    <w:p w:rsidR="00461C86" w:rsidRPr="00945BBE" w:rsidRDefault="00F2653B" w:rsidP="002C1936">
      <w:pPr>
        <w:ind w:left="426"/>
        <w:jc w:val="both"/>
        <w:rPr>
          <w:rFonts w:cs="Tahoma"/>
          <w:b/>
          <w:szCs w:val="22"/>
        </w:rPr>
      </w:pPr>
      <w:r>
        <w:rPr>
          <w:rFonts w:cs="Tahoma"/>
          <w:szCs w:val="22"/>
        </w:rPr>
        <w:t xml:space="preserve">All firms </w:t>
      </w:r>
      <w:r w:rsidR="00461C86">
        <w:rPr>
          <w:rFonts w:cs="Tahoma"/>
          <w:szCs w:val="22"/>
        </w:rPr>
        <w:t xml:space="preserve">have some form of oversight </w:t>
      </w:r>
      <w:r>
        <w:rPr>
          <w:rFonts w:cs="Tahoma"/>
          <w:szCs w:val="22"/>
        </w:rPr>
        <w:t>of remuneration policies; however</w:t>
      </w:r>
      <w:r w:rsidR="00945BBE">
        <w:rPr>
          <w:rFonts w:cs="Tahoma"/>
          <w:szCs w:val="22"/>
        </w:rPr>
        <w:t>,</w:t>
      </w:r>
      <w:r>
        <w:rPr>
          <w:rFonts w:cs="Tahoma"/>
          <w:szCs w:val="22"/>
        </w:rPr>
        <w:t xml:space="preserve"> in many cases this will be a Committee or sub-committee of the Board and will be set up at Group level. </w:t>
      </w:r>
      <w:r w:rsidR="00945BBE">
        <w:rPr>
          <w:rFonts w:cs="Tahoma"/>
          <w:szCs w:val="22"/>
        </w:rPr>
        <w:t xml:space="preserve"> </w:t>
      </w:r>
      <w:r>
        <w:rPr>
          <w:rFonts w:cs="Tahoma"/>
          <w:szCs w:val="22"/>
        </w:rPr>
        <w:t>In most cases</w:t>
      </w:r>
      <w:r w:rsidR="00945BBE">
        <w:rPr>
          <w:rFonts w:cs="Tahoma"/>
          <w:szCs w:val="22"/>
        </w:rPr>
        <w:t>,</w:t>
      </w:r>
      <w:r>
        <w:rPr>
          <w:rFonts w:cs="Tahoma"/>
          <w:szCs w:val="22"/>
        </w:rPr>
        <w:t xml:space="preserve"> it will not comprise non-executive directors</w:t>
      </w:r>
      <w:r w:rsidR="00355D71">
        <w:rPr>
          <w:rFonts w:cs="Tahoma"/>
          <w:szCs w:val="22"/>
        </w:rPr>
        <w:t xml:space="preserve"> because the firm will not be a public company</w:t>
      </w:r>
      <w:r>
        <w:rPr>
          <w:rFonts w:cs="Tahoma"/>
          <w:szCs w:val="22"/>
        </w:rPr>
        <w:t>.</w:t>
      </w:r>
      <w:r w:rsidR="00945BBE">
        <w:rPr>
          <w:rFonts w:cs="Tahoma"/>
          <w:szCs w:val="22"/>
        </w:rPr>
        <w:t xml:space="preserve"> </w:t>
      </w:r>
    </w:p>
    <w:p w:rsidR="0022572B" w:rsidRPr="00434E2F" w:rsidRDefault="0022572B" w:rsidP="002C1936">
      <w:pPr>
        <w:ind w:left="426" w:hanging="426"/>
        <w:jc w:val="both"/>
        <w:rPr>
          <w:rFonts w:cs="Tahoma"/>
          <w:szCs w:val="22"/>
        </w:rPr>
      </w:pPr>
      <w:bookmarkStart w:id="0" w:name="_GoBack"/>
      <w:bookmarkEnd w:id="0"/>
    </w:p>
    <w:p w:rsidR="00434E2F" w:rsidRPr="00434E2F" w:rsidRDefault="00434E2F" w:rsidP="00434E2F">
      <w:pPr>
        <w:jc w:val="both"/>
        <w:rPr>
          <w:rFonts w:cs="Tahoma"/>
          <w:szCs w:val="22"/>
        </w:rPr>
      </w:pPr>
    </w:p>
    <w:p w:rsidR="00434E2F" w:rsidRDefault="00434E2F" w:rsidP="00434E2F">
      <w:pPr>
        <w:autoSpaceDE w:val="0"/>
        <w:autoSpaceDN w:val="0"/>
        <w:adjustRightInd w:val="0"/>
        <w:jc w:val="both"/>
        <w:rPr>
          <w:rFonts w:cs="Tahoma"/>
          <w:b/>
          <w:szCs w:val="22"/>
        </w:rPr>
      </w:pPr>
      <w:r w:rsidRPr="00434E2F">
        <w:rPr>
          <w:rFonts w:cs="Tahoma"/>
          <w:b/>
          <w:szCs w:val="22"/>
        </w:rPr>
        <w:t>UCITS V</w:t>
      </w:r>
      <w:r>
        <w:rPr>
          <w:rFonts w:cs="Tahoma"/>
          <w:b/>
          <w:szCs w:val="22"/>
        </w:rPr>
        <w:t>: Suggested amendments</w:t>
      </w:r>
    </w:p>
    <w:p w:rsidR="008C0A79" w:rsidRDefault="008C0A79" w:rsidP="00434E2F">
      <w:pPr>
        <w:autoSpaceDE w:val="0"/>
        <w:autoSpaceDN w:val="0"/>
        <w:adjustRightInd w:val="0"/>
        <w:jc w:val="both"/>
        <w:rPr>
          <w:rFonts w:cs="Tahoma"/>
          <w:b/>
          <w:szCs w:val="22"/>
        </w:rPr>
      </w:pPr>
    </w:p>
    <w:p w:rsidR="008C0A79" w:rsidRPr="008C0A79" w:rsidRDefault="00945BBE" w:rsidP="00434E2F">
      <w:pPr>
        <w:autoSpaceDE w:val="0"/>
        <w:autoSpaceDN w:val="0"/>
        <w:adjustRightInd w:val="0"/>
        <w:jc w:val="both"/>
        <w:rPr>
          <w:rFonts w:cs="Tahoma"/>
          <w:szCs w:val="22"/>
        </w:rPr>
      </w:pPr>
      <w:r>
        <w:rPr>
          <w:rFonts w:cs="Tahoma"/>
        </w:rPr>
        <w:t>We object to the Commission’s preamble as regards UCITS managers’ remuneration policies (there is absolutely no evidence that they played any part in “exacerbating the impact and scale of the crisis”), but we have no objection in principle to the proposed requirements in the draft articles.  However,</w:t>
      </w:r>
      <w:r>
        <w:rPr>
          <w:rFonts w:cs="Tahoma"/>
          <w:szCs w:val="22"/>
        </w:rPr>
        <w:t xml:space="preserve"> i</w:t>
      </w:r>
      <w:r w:rsidR="008C0A79">
        <w:rPr>
          <w:rFonts w:cs="Tahoma"/>
          <w:szCs w:val="22"/>
        </w:rPr>
        <w:t>n the light of th</w:t>
      </w:r>
      <w:r>
        <w:rPr>
          <w:rFonts w:cs="Tahoma"/>
          <w:szCs w:val="22"/>
        </w:rPr>
        <w:t>e above comments</w:t>
      </w:r>
      <w:r w:rsidR="008C0A79">
        <w:rPr>
          <w:rFonts w:cs="Tahoma"/>
          <w:szCs w:val="22"/>
        </w:rPr>
        <w:t>, w</w:t>
      </w:r>
      <w:r w:rsidR="008C0A79" w:rsidRPr="008C0A79">
        <w:rPr>
          <w:rFonts w:cs="Tahoma"/>
          <w:szCs w:val="22"/>
        </w:rPr>
        <w:t xml:space="preserve">e suggest the following amendments </w:t>
      </w:r>
      <w:r>
        <w:rPr>
          <w:rFonts w:cs="Tahoma"/>
          <w:szCs w:val="22"/>
        </w:rPr>
        <w:t xml:space="preserve">to the Recitals, </w:t>
      </w:r>
      <w:r w:rsidR="008C0A79" w:rsidRPr="008C0A79">
        <w:rPr>
          <w:rFonts w:cs="Tahoma"/>
          <w:szCs w:val="22"/>
        </w:rPr>
        <w:t>which would permit a more flexible, proportionat</w:t>
      </w:r>
      <w:r w:rsidR="00355D71">
        <w:rPr>
          <w:rFonts w:cs="Tahoma"/>
          <w:szCs w:val="22"/>
        </w:rPr>
        <w:t>e approach, consistent with CRD.</w:t>
      </w:r>
    </w:p>
    <w:p w:rsidR="00434E2F" w:rsidRPr="00434E2F" w:rsidRDefault="00434E2F" w:rsidP="00434E2F">
      <w:pPr>
        <w:autoSpaceDE w:val="0"/>
        <w:autoSpaceDN w:val="0"/>
        <w:adjustRightInd w:val="0"/>
        <w:jc w:val="both"/>
        <w:rPr>
          <w:rFonts w:cs="Tahoma"/>
          <w:b/>
          <w:szCs w:val="22"/>
        </w:rPr>
      </w:pPr>
    </w:p>
    <w:p w:rsidR="0083774E" w:rsidRDefault="0083774E" w:rsidP="00434E2F">
      <w:pPr>
        <w:autoSpaceDE w:val="0"/>
        <w:autoSpaceDN w:val="0"/>
        <w:adjustRightInd w:val="0"/>
        <w:jc w:val="both"/>
        <w:rPr>
          <w:rFonts w:cs="Tahoma"/>
          <w:szCs w:val="22"/>
        </w:rPr>
      </w:pPr>
    </w:p>
    <w:p w:rsidR="0083774E" w:rsidRDefault="0083774E" w:rsidP="00434E2F">
      <w:pPr>
        <w:autoSpaceDE w:val="0"/>
        <w:autoSpaceDN w:val="0"/>
        <w:adjustRightInd w:val="0"/>
        <w:jc w:val="both"/>
        <w:rPr>
          <w:rFonts w:cs="Tahoma"/>
          <w:szCs w:val="22"/>
        </w:rPr>
      </w:pPr>
    </w:p>
    <w:p w:rsidR="0083774E" w:rsidRDefault="0083774E" w:rsidP="00434E2F">
      <w:pPr>
        <w:autoSpaceDE w:val="0"/>
        <w:autoSpaceDN w:val="0"/>
        <w:adjustRightInd w:val="0"/>
        <w:jc w:val="both"/>
        <w:rPr>
          <w:rFonts w:cs="Tahoma"/>
          <w:szCs w:val="22"/>
        </w:rPr>
      </w:pPr>
    </w:p>
    <w:p w:rsidR="0083774E" w:rsidRDefault="0083774E" w:rsidP="00434E2F">
      <w:pPr>
        <w:autoSpaceDE w:val="0"/>
        <w:autoSpaceDN w:val="0"/>
        <w:adjustRightInd w:val="0"/>
        <w:jc w:val="both"/>
        <w:rPr>
          <w:rFonts w:cs="Tahoma"/>
          <w:szCs w:val="22"/>
        </w:rPr>
      </w:pPr>
    </w:p>
    <w:p w:rsidR="0083774E" w:rsidRDefault="0083774E" w:rsidP="00434E2F">
      <w:pPr>
        <w:autoSpaceDE w:val="0"/>
        <w:autoSpaceDN w:val="0"/>
        <w:adjustRightInd w:val="0"/>
        <w:jc w:val="both"/>
        <w:rPr>
          <w:rFonts w:cs="Tahoma"/>
          <w:szCs w:val="22"/>
        </w:rPr>
      </w:pPr>
      <w:r>
        <w:rPr>
          <w:rFonts w:cs="Tahoma"/>
          <w:szCs w:val="22"/>
        </w:rPr>
        <w:t>IMA</w:t>
      </w:r>
    </w:p>
    <w:p w:rsidR="0083774E" w:rsidRDefault="0083774E" w:rsidP="00434E2F">
      <w:pPr>
        <w:autoSpaceDE w:val="0"/>
        <w:autoSpaceDN w:val="0"/>
        <w:adjustRightInd w:val="0"/>
        <w:jc w:val="both"/>
        <w:rPr>
          <w:rFonts w:cs="Tahoma"/>
          <w:szCs w:val="22"/>
        </w:rPr>
      </w:pPr>
      <w:r>
        <w:rPr>
          <w:rFonts w:cs="Tahoma"/>
          <w:szCs w:val="22"/>
        </w:rPr>
        <w:t>October 2012</w:t>
      </w:r>
    </w:p>
    <w:p w:rsidR="00434E2F" w:rsidRPr="00434E2F" w:rsidRDefault="00945BBE" w:rsidP="00434E2F">
      <w:pPr>
        <w:autoSpaceDE w:val="0"/>
        <w:autoSpaceDN w:val="0"/>
        <w:adjustRightInd w:val="0"/>
        <w:jc w:val="both"/>
        <w:rPr>
          <w:rFonts w:cs="Tahoma"/>
          <w:szCs w:val="22"/>
        </w:rPr>
      </w:pPr>
      <w:r>
        <w:rPr>
          <w:rFonts w:cs="Tahoma"/>
          <w:szCs w:val="22"/>
        </w:rPr>
        <w:br w:type="column"/>
      </w:r>
    </w:p>
    <w:tbl>
      <w:tblPr>
        <w:tblStyle w:val="TableGrid"/>
        <w:tblW w:w="0" w:type="auto"/>
        <w:tblLook w:val="04A0" w:firstRow="1" w:lastRow="0" w:firstColumn="1" w:lastColumn="0" w:noHBand="0" w:noVBand="1"/>
      </w:tblPr>
      <w:tblGrid>
        <w:gridCol w:w="4260"/>
        <w:gridCol w:w="4262"/>
      </w:tblGrid>
      <w:tr w:rsidR="00434E2F" w:rsidRPr="00434E2F" w:rsidTr="00434E2F">
        <w:tc>
          <w:tcPr>
            <w:tcW w:w="8522" w:type="dxa"/>
            <w:gridSpan w:val="2"/>
          </w:tcPr>
          <w:p w:rsidR="00434E2F" w:rsidRPr="00434E2F" w:rsidRDefault="00434E2F" w:rsidP="00434E2F">
            <w:pPr>
              <w:autoSpaceDE w:val="0"/>
              <w:autoSpaceDN w:val="0"/>
              <w:adjustRightInd w:val="0"/>
              <w:jc w:val="both"/>
              <w:rPr>
                <w:rFonts w:cs="Tahoma"/>
              </w:rPr>
            </w:pPr>
            <w:r w:rsidRPr="00434E2F">
              <w:rPr>
                <w:rFonts w:cs="Tahoma"/>
              </w:rPr>
              <w:t>Recital 3</w:t>
            </w:r>
          </w:p>
          <w:p w:rsidR="00434E2F" w:rsidRPr="00434E2F" w:rsidRDefault="00434E2F" w:rsidP="00434E2F">
            <w:pPr>
              <w:autoSpaceDE w:val="0"/>
              <w:autoSpaceDN w:val="0"/>
              <w:adjustRightInd w:val="0"/>
              <w:jc w:val="both"/>
              <w:rPr>
                <w:rFonts w:cs="Tahoma"/>
              </w:rPr>
            </w:pPr>
          </w:p>
        </w:tc>
      </w:tr>
      <w:tr w:rsidR="00434E2F" w:rsidRPr="00434E2F" w:rsidTr="00434E2F">
        <w:tc>
          <w:tcPr>
            <w:tcW w:w="4260" w:type="dxa"/>
          </w:tcPr>
          <w:p w:rsidR="00434E2F" w:rsidRPr="00434E2F" w:rsidRDefault="00434E2F" w:rsidP="00434E2F">
            <w:pPr>
              <w:autoSpaceDE w:val="0"/>
              <w:autoSpaceDN w:val="0"/>
              <w:adjustRightInd w:val="0"/>
              <w:jc w:val="both"/>
              <w:rPr>
                <w:rFonts w:cs="Tahoma"/>
              </w:rPr>
            </w:pPr>
            <w:r w:rsidRPr="00434E2F">
              <w:rPr>
                <w:rFonts w:cs="Tahoma"/>
              </w:rPr>
              <w:t>The principles governing remuneration policies should recognise that UCITS</w:t>
            </w:r>
          </w:p>
          <w:p w:rsidR="00434E2F" w:rsidRPr="00434E2F" w:rsidRDefault="00434E2F" w:rsidP="0083774E">
            <w:pPr>
              <w:autoSpaceDE w:val="0"/>
              <w:autoSpaceDN w:val="0"/>
              <w:adjustRightInd w:val="0"/>
              <w:jc w:val="both"/>
              <w:rPr>
                <w:rFonts w:cs="Tahoma"/>
              </w:rPr>
            </w:pPr>
            <w:proofErr w:type="gramStart"/>
            <w:r w:rsidRPr="00434E2F">
              <w:rPr>
                <w:rFonts w:cs="Tahoma"/>
              </w:rPr>
              <w:t>management</w:t>
            </w:r>
            <w:proofErr w:type="gramEnd"/>
            <w:r w:rsidRPr="00434E2F">
              <w:rPr>
                <w:rFonts w:cs="Tahoma"/>
              </w:rPr>
              <w:t xml:space="preserve"> companies are able to apply those policies in different ways according to</w:t>
            </w:r>
            <w:r w:rsidR="00945BBE">
              <w:rPr>
                <w:rFonts w:cs="Tahoma"/>
              </w:rPr>
              <w:t xml:space="preserve"> </w:t>
            </w:r>
            <w:r w:rsidRPr="00434E2F">
              <w:rPr>
                <w:rFonts w:cs="Tahoma"/>
              </w:rPr>
              <w:t>their size and the size of the UCITS they manage, their internal organisation and the</w:t>
            </w:r>
            <w:r w:rsidR="00945BBE">
              <w:rPr>
                <w:rFonts w:cs="Tahoma"/>
              </w:rPr>
              <w:t xml:space="preserve"> </w:t>
            </w:r>
            <w:r w:rsidRPr="00434E2F">
              <w:rPr>
                <w:rFonts w:cs="Tahoma"/>
              </w:rPr>
              <w:t>nature, scope and complexity of their activities.</w:t>
            </w:r>
          </w:p>
          <w:p w:rsidR="00434E2F" w:rsidRPr="00434E2F" w:rsidRDefault="00434E2F" w:rsidP="00434E2F">
            <w:pPr>
              <w:autoSpaceDE w:val="0"/>
              <w:autoSpaceDN w:val="0"/>
              <w:adjustRightInd w:val="0"/>
              <w:jc w:val="both"/>
              <w:rPr>
                <w:rFonts w:cs="Tahoma"/>
              </w:rPr>
            </w:pPr>
          </w:p>
        </w:tc>
        <w:tc>
          <w:tcPr>
            <w:tcW w:w="4262" w:type="dxa"/>
          </w:tcPr>
          <w:p w:rsidR="00434E2F" w:rsidRPr="00434E2F" w:rsidRDefault="00434E2F" w:rsidP="00434E2F">
            <w:pPr>
              <w:autoSpaceDE w:val="0"/>
              <w:autoSpaceDN w:val="0"/>
              <w:adjustRightInd w:val="0"/>
              <w:jc w:val="both"/>
              <w:rPr>
                <w:rFonts w:cs="Tahoma"/>
              </w:rPr>
            </w:pPr>
            <w:r w:rsidRPr="00434E2F">
              <w:rPr>
                <w:rFonts w:cs="Tahoma"/>
              </w:rPr>
              <w:t>The principles governing remuneration policies should recognise that UCITS</w:t>
            </w:r>
            <w:r w:rsidR="00945BBE">
              <w:rPr>
                <w:rFonts w:cs="Tahoma"/>
              </w:rPr>
              <w:t xml:space="preserve"> </w:t>
            </w:r>
          </w:p>
          <w:p w:rsidR="00434E2F" w:rsidRDefault="00434E2F" w:rsidP="00434E2F">
            <w:pPr>
              <w:autoSpaceDE w:val="0"/>
              <w:autoSpaceDN w:val="0"/>
              <w:adjustRightInd w:val="0"/>
              <w:jc w:val="both"/>
              <w:rPr>
                <w:rFonts w:cs="Tahoma"/>
                <w:iCs/>
                <w:u w:val="single"/>
              </w:rPr>
            </w:pPr>
            <w:proofErr w:type="gramStart"/>
            <w:r w:rsidRPr="00434E2F">
              <w:rPr>
                <w:rFonts w:cs="Tahoma"/>
              </w:rPr>
              <w:t>management</w:t>
            </w:r>
            <w:proofErr w:type="gramEnd"/>
            <w:r w:rsidRPr="00434E2F">
              <w:rPr>
                <w:rFonts w:cs="Tahoma"/>
              </w:rPr>
              <w:t xml:space="preserve"> companies are able to apply those policies in different ways according to</w:t>
            </w:r>
            <w:r>
              <w:rPr>
                <w:rFonts w:cs="Tahoma"/>
              </w:rPr>
              <w:t xml:space="preserve"> </w:t>
            </w:r>
            <w:r w:rsidRPr="00434E2F">
              <w:rPr>
                <w:rFonts w:cs="Tahoma"/>
              </w:rPr>
              <w:t>their size and the size of the UCITS they manage, their internal organisation and the</w:t>
            </w:r>
            <w:r>
              <w:rPr>
                <w:rFonts w:cs="Tahoma"/>
              </w:rPr>
              <w:t xml:space="preserve"> </w:t>
            </w:r>
            <w:r w:rsidRPr="00434E2F">
              <w:rPr>
                <w:rFonts w:cs="Tahoma"/>
              </w:rPr>
              <w:t>nature, scope and complexity of their activities</w:t>
            </w:r>
            <w:r w:rsidRPr="008C0A79">
              <w:rPr>
                <w:rFonts w:cs="Tahoma"/>
              </w:rPr>
              <w:t>.</w:t>
            </w:r>
            <w:r w:rsidR="00C355F0" w:rsidRPr="008C0A79">
              <w:rPr>
                <w:rFonts w:cs="Tahoma"/>
              </w:rPr>
              <w:t xml:space="preserve"> </w:t>
            </w:r>
            <w:r w:rsidR="00903915" w:rsidRPr="00355D71">
              <w:rPr>
                <w:rFonts w:cs="Tahoma"/>
                <w:b/>
                <w:i/>
              </w:rPr>
              <w:t>In particular, it may not be proportionate for UCITS management companies to comply with all the principles</w:t>
            </w:r>
            <w:r w:rsidR="00903915" w:rsidRPr="00355D71">
              <w:rPr>
                <w:rFonts w:cs="Tahoma"/>
                <w:b/>
                <w:i/>
                <w:iCs/>
              </w:rPr>
              <w:t>.</w:t>
            </w:r>
            <w:r w:rsidRPr="00434E2F">
              <w:rPr>
                <w:rFonts w:cs="Tahoma"/>
                <w:iCs/>
                <w:u w:val="single"/>
              </w:rPr>
              <w:t xml:space="preserve"> </w:t>
            </w:r>
          </w:p>
          <w:p w:rsidR="00434E2F" w:rsidRPr="00434E2F" w:rsidRDefault="00434E2F" w:rsidP="00434E2F">
            <w:pPr>
              <w:autoSpaceDE w:val="0"/>
              <w:autoSpaceDN w:val="0"/>
              <w:adjustRightInd w:val="0"/>
              <w:jc w:val="both"/>
              <w:rPr>
                <w:rFonts w:cs="Tahoma"/>
              </w:rPr>
            </w:pPr>
          </w:p>
        </w:tc>
      </w:tr>
    </w:tbl>
    <w:p w:rsidR="00434E2F" w:rsidRPr="00434E2F" w:rsidRDefault="00434E2F" w:rsidP="00434E2F">
      <w:pPr>
        <w:autoSpaceDE w:val="0"/>
        <w:autoSpaceDN w:val="0"/>
        <w:adjustRightInd w:val="0"/>
        <w:jc w:val="both"/>
        <w:rPr>
          <w:rFonts w:cs="Tahoma"/>
          <w:szCs w:val="22"/>
        </w:rPr>
      </w:pPr>
    </w:p>
    <w:p w:rsidR="00BF627E" w:rsidRPr="00355D71" w:rsidRDefault="00903915" w:rsidP="00355D71">
      <w:pPr>
        <w:autoSpaceDE w:val="0"/>
        <w:autoSpaceDN w:val="0"/>
        <w:adjustRightInd w:val="0"/>
        <w:jc w:val="center"/>
        <w:rPr>
          <w:rFonts w:cs="Tahoma"/>
          <w:szCs w:val="22"/>
          <w:u w:val="single"/>
        </w:rPr>
      </w:pPr>
      <w:r w:rsidRPr="00355D71">
        <w:rPr>
          <w:rFonts w:cs="Tahoma"/>
          <w:szCs w:val="22"/>
          <w:u w:val="single"/>
        </w:rPr>
        <w:t>Justification</w:t>
      </w:r>
    </w:p>
    <w:p w:rsidR="00945BBE" w:rsidRDefault="00945BBE" w:rsidP="00434E2F">
      <w:pPr>
        <w:autoSpaceDE w:val="0"/>
        <w:autoSpaceDN w:val="0"/>
        <w:adjustRightInd w:val="0"/>
        <w:jc w:val="both"/>
        <w:rPr>
          <w:rFonts w:cs="Tahoma"/>
          <w:b/>
          <w:szCs w:val="22"/>
        </w:rPr>
      </w:pPr>
    </w:p>
    <w:p w:rsidR="00434E2F" w:rsidRPr="00434E2F" w:rsidRDefault="00434E2F" w:rsidP="00434E2F">
      <w:pPr>
        <w:autoSpaceDE w:val="0"/>
        <w:autoSpaceDN w:val="0"/>
        <w:adjustRightInd w:val="0"/>
        <w:jc w:val="both"/>
        <w:rPr>
          <w:rFonts w:cs="Tahoma"/>
          <w:szCs w:val="22"/>
        </w:rPr>
      </w:pPr>
      <w:r w:rsidRPr="00434E2F">
        <w:rPr>
          <w:rFonts w:cs="Tahoma"/>
          <w:szCs w:val="22"/>
        </w:rPr>
        <w:t>CRD and the EBA guidelines allow for the disapplication of certain principles for investment firms</w:t>
      </w:r>
      <w:r w:rsidR="00945BBE">
        <w:rPr>
          <w:rFonts w:cs="Tahoma"/>
          <w:szCs w:val="22"/>
        </w:rPr>
        <w:t>.</w:t>
      </w:r>
      <w:r w:rsidRPr="00434E2F">
        <w:rPr>
          <w:rFonts w:cs="Tahoma"/>
          <w:szCs w:val="22"/>
        </w:rPr>
        <w:t xml:space="preserve">  </w:t>
      </w:r>
      <w:r w:rsidR="00945BBE">
        <w:rPr>
          <w:rFonts w:cs="Tahoma"/>
          <w:szCs w:val="22"/>
        </w:rPr>
        <w:t>T</w:t>
      </w:r>
      <w:r w:rsidRPr="00434E2F">
        <w:rPr>
          <w:rFonts w:cs="Tahoma"/>
          <w:szCs w:val="22"/>
        </w:rPr>
        <w:t xml:space="preserve">he same proportionate approach should be followed </w:t>
      </w:r>
      <w:r w:rsidR="00945BBE">
        <w:rPr>
          <w:rFonts w:cs="Tahoma"/>
          <w:szCs w:val="22"/>
        </w:rPr>
        <w:t xml:space="preserve">for </w:t>
      </w:r>
      <w:r w:rsidRPr="00434E2F">
        <w:rPr>
          <w:rFonts w:cs="Tahoma"/>
          <w:szCs w:val="22"/>
        </w:rPr>
        <w:t xml:space="preserve">UCITS management companies </w:t>
      </w:r>
      <w:r w:rsidR="00945BBE">
        <w:rPr>
          <w:rFonts w:cs="Tahoma"/>
          <w:szCs w:val="22"/>
        </w:rPr>
        <w:t xml:space="preserve">given that they </w:t>
      </w:r>
      <w:r w:rsidRPr="00434E2F">
        <w:rPr>
          <w:rFonts w:cs="Tahoma"/>
          <w:szCs w:val="22"/>
        </w:rPr>
        <w:t xml:space="preserve">acting </w:t>
      </w:r>
      <w:r w:rsidR="00945BBE">
        <w:rPr>
          <w:rFonts w:cs="Tahoma"/>
          <w:szCs w:val="22"/>
        </w:rPr>
        <w:t xml:space="preserve">only </w:t>
      </w:r>
      <w:r w:rsidRPr="00434E2F">
        <w:rPr>
          <w:rFonts w:cs="Tahoma"/>
          <w:szCs w:val="22"/>
        </w:rPr>
        <w:t>on an agency basis and will not be carrying the same balance sheet risk as credit institutions</w:t>
      </w:r>
      <w:r w:rsidR="0083774E">
        <w:rPr>
          <w:rFonts w:cs="Tahoma"/>
          <w:szCs w:val="22"/>
        </w:rPr>
        <w:t>, the UCITS governance framework provides strong investor protection safeguards, and disclosure of management company remuneration is already required by the KIID</w:t>
      </w:r>
      <w:r w:rsidRPr="00434E2F">
        <w:rPr>
          <w:rFonts w:cs="Tahoma"/>
          <w:szCs w:val="22"/>
        </w:rPr>
        <w:t xml:space="preserve">. </w:t>
      </w:r>
    </w:p>
    <w:p w:rsidR="00434E2F" w:rsidRPr="00434E2F" w:rsidRDefault="00434E2F" w:rsidP="00434E2F">
      <w:pPr>
        <w:autoSpaceDE w:val="0"/>
        <w:autoSpaceDN w:val="0"/>
        <w:adjustRightInd w:val="0"/>
        <w:jc w:val="both"/>
        <w:rPr>
          <w:rFonts w:cs="Tahoma"/>
          <w:b/>
          <w:szCs w:val="22"/>
        </w:rPr>
      </w:pPr>
    </w:p>
    <w:p w:rsidR="00434E2F" w:rsidRPr="00434E2F" w:rsidRDefault="00434E2F" w:rsidP="00434E2F">
      <w:pPr>
        <w:jc w:val="both"/>
        <w:rPr>
          <w:rFonts w:cs="Tahoma"/>
          <w:szCs w:val="22"/>
        </w:rPr>
      </w:pPr>
    </w:p>
    <w:p w:rsidR="0022572B" w:rsidRPr="00434E2F" w:rsidRDefault="0022572B" w:rsidP="00434E2F">
      <w:pPr>
        <w:jc w:val="both"/>
        <w:rPr>
          <w:rFonts w:cs="Tahoma"/>
          <w:szCs w:val="22"/>
        </w:rPr>
      </w:pPr>
    </w:p>
    <w:tbl>
      <w:tblPr>
        <w:tblStyle w:val="TableGrid"/>
        <w:tblW w:w="0" w:type="auto"/>
        <w:tblLook w:val="04A0" w:firstRow="1" w:lastRow="0" w:firstColumn="1" w:lastColumn="0" w:noHBand="0" w:noVBand="1"/>
      </w:tblPr>
      <w:tblGrid>
        <w:gridCol w:w="4260"/>
        <w:gridCol w:w="4262"/>
      </w:tblGrid>
      <w:tr w:rsidR="00434E2F" w:rsidRPr="00434E2F" w:rsidTr="007150A7">
        <w:tc>
          <w:tcPr>
            <w:tcW w:w="8522" w:type="dxa"/>
            <w:gridSpan w:val="2"/>
          </w:tcPr>
          <w:p w:rsidR="00434E2F" w:rsidRPr="00434E2F" w:rsidRDefault="00434E2F" w:rsidP="00434E2F">
            <w:pPr>
              <w:autoSpaceDE w:val="0"/>
              <w:autoSpaceDN w:val="0"/>
              <w:adjustRightInd w:val="0"/>
              <w:jc w:val="both"/>
              <w:rPr>
                <w:rFonts w:cs="Tahoma"/>
              </w:rPr>
            </w:pPr>
            <w:r>
              <w:rPr>
                <w:rFonts w:cs="Tahoma"/>
              </w:rPr>
              <w:t xml:space="preserve">New </w:t>
            </w:r>
            <w:r w:rsidRPr="00434E2F">
              <w:rPr>
                <w:rFonts w:cs="Tahoma"/>
              </w:rPr>
              <w:t>Recital 3</w:t>
            </w:r>
            <w:r>
              <w:rPr>
                <w:rFonts w:cs="Tahoma"/>
              </w:rPr>
              <w:t>A</w:t>
            </w:r>
          </w:p>
          <w:p w:rsidR="00434E2F" w:rsidRPr="00434E2F" w:rsidRDefault="00434E2F" w:rsidP="00434E2F">
            <w:pPr>
              <w:autoSpaceDE w:val="0"/>
              <w:autoSpaceDN w:val="0"/>
              <w:adjustRightInd w:val="0"/>
              <w:jc w:val="both"/>
              <w:rPr>
                <w:rFonts w:cs="Tahoma"/>
              </w:rPr>
            </w:pPr>
          </w:p>
        </w:tc>
      </w:tr>
      <w:tr w:rsidR="00434E2F" w:rsidRPr="00434E2F" w:rsidTr="007150A7">
        <w:tc>
          <w:tcPr>
            <w:tcW w:w="4260" w:type="dxa"/>
          </w:tcPr>
          <w:p w:rsidR="00434E2F" w:rsidRPr="00434E2F" w:rsidRDefault="00434E2F" w:rsidP="00434E2F">
            <w:pPr>
              <w:jc w:val="both"/>
              <w:rPr>
                <w:rFonts w:cs="Tahoma"/>
              </w:rPr>
            </w:pPr>
          </w:p>
        </w:tc>
        <w:tc>
          <w:tcPr>
            <w:tcW w:w="4262" w:type="dxa"/>
          </w:tcPr>
          <w:p w:rsidR="00434E2F" w:rsidRPr="00355D71" w:rsidRDefault="00903915" w:rsidP="00434E2F">
            <w:pPr>
              <w:pStyle w:val="Default"/>
              <w:jc w:val="both"/>
              <w:rPr>
                <w:rFonts w:ascii="Tahoma" w:hAnsi="Tahoma" w:cs="Tahoma"/>
                <w:b/>
                <w:i/>
                <w:sz w:val="22"/>
                <w:szCs w:val="22"/>
              </w:rPr>
            </w:pPr>
            <w:r w:rsidRPr="00355D71">
              <w:rPr>
                <w:rFonts w:ascii="Tahoma" w:hAnsi="Tahoma" w:cs="Tahoma"/>
                <w:b/>
                <w:i/>
                <w:iCs/>
                <w:sz w:val="22"/>
                <w:szCs w:val="22"/>
              </w:rPr>
              <w:t xml:space="preserve">Where a UCITS management company is part of a group </w:t>
            </w:r>
            <w:r w:rsidR="0083774E">
              <w:rPr>
                <w:rFonts w:ascii="Tahoma" w:hAnsi="Tahoma" w:cs="Tahoma"/>
                <w:b/>
                <w:i/>
                <w:iCs/>
                <w:sz w:val="22"/>
                <w:szCs w:val="22"/>
              </w:rPr>
              <w:t xml:space="preserve">that </w:t>
            </w:r>
            <w:r w:rsidRPr="00355D71">
              <w:rPr>
                <w:rFonts w:ascii="Tahoma" w:hAnsi="Tahoma" w:cs="Tahoma"/>
                <w:b/>
                <w:i/>
                <w:iCs/>
                <w:sz w:val="22"/>
                <w:szCs w:val="22"/>
              </w:rPr>
              <w:t xml:space="preserve">has implemented a group-wide remuneration policy </w:t>
            </w:r>
            <w:r w:rsidR="0083774E">
              <w:rPr>
                <w:rFonts w:ascii="Tahoma" w:hAnsi="Tahoma" w:cs="Tahoma"/>
                <w:b/>
                <w:i/>
                <w:iCs/>
                <w:sz w:val="22"/>
                <w:szCs w:val="22"/>
              </w:rPr>
              <w:t xml:space="preserve">that </w:t>
            </w:r>
            <w:r w:rsidRPr="00355D71">
              <w:rPr>
                <w:rFonts w:ascii="Tahoma" w:hAnsi="Tahoma" w:cs="Tahoma"/>
                <w:b/>
                <w:i/>
                <w:iCs/>
                <w:sz w:val="22"/>
                <w:szCs w:val="22"/>
              </w:rPr>
              <w:t xml:space="preserve">complies with Article 22 of Directive 2006/48/EC as amended by Directive 2010/76/EU, it shall be regarded as meeting the remuneration requirements in this Directive. </w:t>
            </w:r>
          </w:p>
          <w:p w:rsidR="00434E2F" w:rsidRPr="00434E2F" w:rsidRDefault="00434E2F" w:rsidP="00434E2F">
            <w:pPr>
              <w:autoSpaceDE w:val="0"/>
              <w:autoSpaceDN w:val="0"/>
              <w:adjustRightInd w:val="0"/>
              <w:jc w:val="both"/>
              <w:rPr>
                <w:rFonts w:cs="Tahoma"/>
              </w:rPr>
            </w:pPr>
          </w:p>
        </w:tc>
      </w:tr>
    </w:tbl>
    <w:p w:rsidR="00AF218D" w:rsidRDefault="00AF218D" w:rsidP="00434E2F">
      <w:pPr>
        <w:jc w:val="both"/>
        <w:rPr>
          <w:rFonts w:cs="Tahoma"/>
          <w:szCs w:val="22"/>
        </w:rPr>
      </w:pPr>
    </w:p>
    <w:p w:rsidR="00434E2F" w:rsidRDefault="00434E2F" w:rsidP="00434E2F">
      <w:pPr>
        <w:jc w:val="both"/>
        <w:rPr>
          <w:rFonts w:cs="Tahoma"/>
          <w:szCs w:val="22"/>
        </w:rPr>
      </w:pPr>
    </w:p>
    <w:p w:rsidR="00BF627E" w:rsidRPr="00355D71" w:rsidRDefault="00903915" w:rsidP="00355D71">
      <w:pPr>
        <w:jc w:val="center"/>
        <w:rPr>
          <w:rFonts w:cs="Tahoma"/>
          <w:szCs w:val="22"/>
          <w:u w:val="single"/>
        </w:rPr>
      </w:pPr>
      <w:r w:rsidRPr="00355D71">
        <w:rPr>
          <w:rFonts w:cs="Tahoma"/>
          <w:szCs w:val="22"/>
          <w:u w:val="single"/>
        </w:rPr>
        <w:t>Justification</w:t>
      </w:r>
    </w:p>
    <w:p w:rsidR="0083774E" w:rsidRDefault="0083774E" w:rsidP="00434E2F">
      <w:pPr>
        <w:jc w:val="both"/>
        <w:rPr>
          <w:rFonts w:cs="Tahoma"/>
          <w:b/>
          <w:szCs w:val="22"/>
        </w:rPr>
      </w:pPr>
    </w:p>
    <w:p w:rsidR="00434E2F" w:rsidRDefault="00434E2F" w:rsidP="00434E2F">
      <w:pPr>
        <w:jc w:val="both"/>
        <w:rPr>
          <w:rFonts w:cs="Tahoma"/>
          <w:szCs w:val="22"/>
        </w:rPr>
      </w:pPr>
      <w:r w:rsidRPr="00434E2F">
        <w:rPr>
          <w:rFonts w:cs="Tahoma"/>
          <w:szCs w:val="22"/>
        </w:rPr>
        <w:t>To avoid groups being subject to multiple remuneration requirements, where a group has set up a remuneration policy in accordance with the CRD3 amendments, it should be regarded as complying with this Directive</w:t>
      </w:r>
      <w:r>
        <w:rPr>
          <w:rFonts w:cs="Tahoma"/>
          <w:szCs w:val="22"/>
        </w:rPr>
        <w:t>.</w:t>
      </w:r>
    </w:p>
    <w:p w:rsidR="0083774E" w:rsidRPr="00434E2F" w:rsidRDefault="0083774E" w:rsidP="00434E2F">
      <w:pPr>
        <w:jc w:val="both"/>
        <w:rPr>
          <w:rFonts w:cs="Tahoma"/>
          <w:szCs w:val="22"/>
        </w:rPr>
      </w:pPr>
    </w:p>
    <w:sectPr w:rsidR="0083774E" w:rsidRPr="00434E2F" w:rsidSect="00903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5E1C"/>
    <w:multiLevelType w:val="hybridMultilevel"/>
    <w:tmpl w:val="39C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801DA0"/>
    <w:multiLevelType w:val="hybridMultilevel"/>
    <w:tmpl w:val="5FC6B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DB"/>
    <w:rsid w:val="00073692"/>
    <w:rsid w:val="000906F7"/>
    <w:rsid w:val="000E1274"/>
    <w:rsid w:val="000F2A83"/>
    <w:rsid w:val="0010322F"/>
    <w:rsid w:val="00152402"/>
    <w:rsid w:val="0015696E"/>
    <w:rsid w:val="0022572B"/>
    <w:rsid w:val="002C1936"/>
    <w:rsid w:val="0035142A"/>
    <w:rsid w:val="00355D71"/>
    <w:rsid w:val="0039339E"/>
    <w:rsid w:val="003C229D"/>
    <w:rsid w:val="003F7A5F"/>
    <w:rsid w:val="00434E2F"/>
    <w:rsid w:val="00434E7C"/>
    <w:rsid w:val="00461C86"/>
    <w:rsid w:val="004D2A72"/>
    <w:rsid w:val="005A2ED0"/>
    <w:rsid w:val="005F784C"/>
    <w:rsid w:val="00604C46"/>
    <w:rsid w:val="006D3E1D"/>
    <w:rsid w:val="00756444"/>
    <w:rsid w:val="007614E8"/>
    <w:rsid w:val="0078386D"/>
    <w:rsid w:val="007B7EED"/>
    <w:rsid w:val="007C4004"/>
    <w:rsid w:val="007C722D"/>
    <w:rsid w:val="0081519D"/>
    <w:rsid w:val="0083774E"/>
    <w:rsid w:val="00850893"/>
    <w:rsid w:val="008A4BBB"/>
    <w:rsid w:val="008C0A79"/>
    <w:rsid w:val="008E4A2C"/>
    <w:rsid w:val="008F70BB"/>
    <w:rsid w:val="009010C0"/>
    <w:rsid w:val="00903915"/>
    <w:rsid w:val="00945BBE"/>
    <w:rsid w:val="00986FA1"/>
    <w:rsid w:val="00A22620"/>
    <w:rsid w:val="00A231D7"/>
    <w:rsid w:val="00A47739"/>
    <w:rsid w:val="00A75D9C"/>
    <w:rsid w:val="00AC7B37"/>
    <w:rsid w:val="00AE1AF4"/>
    <w:rsid w:val="00AF218D"/>
    <w:rsid w:val="00B2175D"/>
    <w:rsid w:val="00B92CC7"/>
    <w:rsid w:val="00B93B64"/>
    <w:rsid w:val="00BA125F"/>
    <w:rsid w:val="00BC5FC8"/>
    <w:rsid w:val="00BE01F2"/>
    <w:rsid w:val="00BF627E"/>
    <w:rsid w:val="00C355F0"/>
    <w:rsid w:val="00CC711C"/>
    <w:rsid w:val="00CE61E1"/>
    <w:rsid w:val="00CF7855"/>
    <w:rsid w:val="00D26F9A"/>
    <w:rsid w:val="00DB3865"/>
    <w:rsid w:val="00DE0A3B"/>
    <w:rsid w:val="00DF56DB"/>
    <w:rsid w:val="00E274C8"/>
    <w:rsid w:val="00E27DB3"/>
    <w:rsid w:val="00EE43CB"/>
    <w:rsid w:val="00F2653B"/>
    <w:rsid w:val="00F32970"/>
    <w:rsid w:val="00F429B6"/>
    <w:rsid w:val="00F9501F"/>
    <w:rsid w:val="00FE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table" w:styleId="TableGrid">
    <w:name w:val="Table Grid"/>
    <w:basedOn w:val="TableNormal"/>
    <w:uiPriority w:val="59"/>
    <w:rsid w:val="00434E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E2F"/>
    <w:pPr>
      <w:autoSpaceDE w:val="0"/>
      <w:autoSpaceDN w:val="0"/>
      <w:adjustRightInd w:val="0"/>
    </w:pPr>
    <w:rPr>
      <w:rFonts w:ascii="EUAlbertina" w:eastAsiaTheme="minorHAnsi" w:hAnsi="EUAlbertina" w:cs="EUAlbertina"/>
      <w:color w:val="000000"/>
      <w:sz w:val="24"/>
      <w:szCs w:val="24"/>
      <w:lang w:eastAsia="en-US"/>
    </w:rPr>
  </w:style>
  <w:style w:type="paragraph" w:styleId="ListParagraph">
    <w:name w:val="List Paragraph"/>
    <w:basedOn w:val="Normal"/>
    <w:uiPriority w:val="34"/>
    <w:qFormat/>
    <w:rsid w:val="00434E2F"/>
    <w:pPr>
      <w:ind w:left="720"/>
      <w:contextualSpacing/>
    </w:pPr>
  </w:style>
  <w:style w:type="paragraph" w:styleId="NormalWeb">
    <w:name w:val="Normal (Web)"/>
    <w:basedOn w:val="Normal"/>
    <w:uiPriority w:val="99"/>
    <w:rsid w:val="00F2653B"/>
    <w:pPr>
      <w:spacing w:before="100" w:beforeAutospacing="1" w:after="100" w:afterAutospacing="1" w:line="276" w:lineRule="auto"/>
    </w:pPr>
    <w:rPr>
      <w:rFonts w:ascii="Times New Roman" w:eastAsia="Calibri" w:hAnsi="Times New Roman"/>
      <w:sz w:val="24"/>
      <w:szCs w:val="22"/>
      <w:lang w:eastAsia="en-GB"/>
    </w:rPr>
  </w:style>
  <w:style w:type="character" w:styleId="CommentReference">
    <w:name w:val="annotation reference"/>
    <w:basedOn w:val="DefaultParagraphFont"/>
    <w:uiPriority w:val="99"/>
    <w:semiHidden/>
    <w:unhideWhenUsed/>
    <w:rsid w:val="00C355F0"/>
    <w:rPr>
      <w:sz w:val="16"/>
      <w:szCs w:val="16"/>
    </w:rPr>
  </w:style>
  <w:style w:type="paragraph" w:styleId="CommentText">
    <w:name w:val="annotation text"/>
    <w:basedOn w:val="Normal"/>
    <w:link w:val="CommentTextChar"/>
    <w:uiPriority w:val="99"/>
    <w:semiHidden/>
    <w:unhideWhenUsed/>
    <w:rsid w:val="00C355F0"/>
    <w:rPr>
      <w:sz w:val="20"/>
      <w:szCs w:val="20"/>
    </w:rPr>
  </w:style>
  <w:style w:type="character" w:customStyle="1" w:styleId="CommentTextChar">
    <w:name w:val="Comment Text Char"/>
    <w:basedOn w:val="DefaultParagraphFont"/>
    <w:link w:val="CommentText"/>
    <w:uiPriority w:val="99"/>
    <w:semiHidden/>
    <w:rsid w:val="00C355F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C355F0"/>
    <w:rPr>
      <w:b/>
      <w:bCs/>
    </w:rPr>
  </w:style>
  <w:style w:type="character" w:customStyle="1" w:styleId="CommentSubjectChar">
    <w:name w:val="Comment Subject Char"/>
    <w:basedOn w:val="CommentTextChar"/>
    <w:link w:val="CommentSubject"/>
    <w:uiPriority w:val="99"/>
    <w:semiHidden/>
    <w:rsid w:val="00C355F0"/>
    <w:rPr>
      <w:rFonts w:ascii="Tahoma" w:hAnsi="Tahoma"/>
      <w:b/>
      <w:bCs/>
      <w:lang w:eastAsia="en-US"/>
    </w:rPr>
  </w:style>
  <w:style w:type="paragraph" w:styleId="BalloonText">
    <w:name w:val="Balloon Text"/>
    <w:basedOn w:val="Normal"/>
    <w:link w:val="BalloonTextChar"/>
    <w:uiPriority w:val="99"/>
    <w:semiHidden/>
    <w:unhideWhenUsed/>
    <w:rsid w:val="00C355F0"/>
    <w:rPr>
      <w:rFonts w:cs="Tahoma"/>
      <w:sz w:val="16"/>
      <w:szCs w:val="16"/>
    </w:rPr>
  </w:style>
  <w:style w:type="character" w:customStyle="1" w:styleId="BalloonTextChar">
    <w:name w:val="Balloon Text Char"/>
    <w:basedOn w:val="DefaultParagraphFont"/>
    <w:link w:val="BalloonText"/>
    <w:uiPriority w:val="99"/>
    <w:semiHidden/>
    <w:rsid w:val="00C355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table" w:styleId="TableGrid">
    <w:name w:val="Table Grid"/>
    <w:basedOn w:val="TableNormal"/>
    <w:uiPriority w:val="59"/>
    <w:rsid w:val="00434E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E2F"/>
    <w:pPr>
      <w:autoSpaceDE w:val="0"/>
      <w:autoSpaceDN w:val="0"/>
      <w:adjustRightInd w:val="0"/>
    </w:pPr>
    <w:rPr>
      <w:rFonts w:ascii="EUAlbertina" w:eastAsiaTheme="minorHAnsi" w:hAnsi="EUAlbertina" w:cs="EUAlbertina"/>
      <w:color w:val="000000"/>
      <w:sz w:val="24"/>
      <w:szCs w:val="24"/>
      <w:lang w:eastAsia="en-US"/>
    </w:rPr>
  </w:style>
  <w:style w:type="paragraph" w:styleId="ListParagraph">
    <w:name w:val="List Paragraph"/>
    <w:basedOn w:val="Normal"/>
    <w:uiPriority w:val="34"/>
    <w:qFormat/>
    <w:rsid w:val="00434E2F"/>
    <w:pPr>
      <w:ind w:left="720"/>
      <w:contextualSpacing/>
    </w:pPr>
  </w:style>
  <w:style w:type="paragraph" w:styleId="NormalWeb">
    <w:name w:val="Normal (Web)"/>
    <w:basedOn w:val="Normal"/>
    <w:uiPriority w:val="99"/>
    <w:rsid w:val="00F2653B"/>
    <w:pPr>
      <w:spacing w:before="100" w:beforeAutospacing="1" w:after="100" w:afterAutospacing="1" w:line="276" w:lineRule="auto"/>
    </w:pPr>
    <w:rPr>
      <w:rFonts w:ascii="Times New Roman" w:eastAsia="Calibri" w:hAnsi="Times New Roman"/>
      <w:sz w:val="24"/>
      <w:szCs w:val="22"/>
      <w:lang w:eastAsia="en-GB"/>
    </w:rPr>
  </w:style>
  <w:style w:type="character" w:styleId="CommentReference">
    <w:name w:val="annotation reference"/>
    <w:basedOn w:val="DefaultParagraphFont"/>
    <w:uiPriority w:val="99"/>
    <w:semiHidden/>
    <w:unhideWhenUsed/>
    <w:rsid w:val="00C355F0"/>
    <w:rPr>
      <w:sz w:val="16"/>
      <w:szCs w:val="16"/>
    </w:rPr>
  </w:style>
  <w:style w:type="paragraph" w:styleId="CommentText">
    <w:name w:val="annotation text"/>
    <w:basedOn w:val="Normal"/>
    <w:link w:val="CommentTextChar"/>
    <w:uiPriority w:val="99"/>
    <w:semiHidden/>
    <w:unhideWhenUsed/>
    <w:rsid w:val="00C355F0"/>
    <w:rPr>
      <w:sz w:val="20"/>
      <w:szCs w:val="20"/>
    </w:rPr>
  </w:style>
  <w:style w:type="character" w:customStyle="1" w:styleId="CommentTextChar">
    <w:name w:val="Comment Text Char"/>
    <w:basedOn w:val="DefaultParagraphFont"/>
    <w:link w:val="CommentText"/>
    <w:uiPriority w:val="99"/>
    <w:semiHidden/>
    <w:rsid w:val="00C355F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C355F0"/>
    <w:rPr>
      <w:b/>
      <w:bCs/>
    </w:rPr>
  </w:style>
  <w:style w:type="character" w:customStyle="1" w:styleId="CommentSubjectChar">
    <w:name w:val="Comment Subject Char"/>
    <w:basedOn w:val="CommentTextChar"/>
    <w:link w:val="CommentSubject"/>
    <w:uiPriority w:val="99"/>
    <w:semiHidden/>
    <w:rsid w:val="00C355F0"/>
    <w:rPr>
      <w:rFonts w:ascii="Tahoma" w:hAnsi="Tahoma"/>
      <w:b/>
      <w:bCs/>
      <w:lang w:eastAsia="en-US"/>
    </w:rPr>
  </w:style>
  <w:style w:type="paragraph" w:styleId="BalloonText">
    <w:name w:val="Balloon Text"/>
    <w:basedOn w:val="Normal"/>
    <w:link w:val="BalloonTextChar"/>
    <w:uiPriority w:val="99"/>
    <w:semiHidden/>
    <w:unhideWhenUsed/>
    <w:rsid w:val="00C355F0"/>
    <w:rPr>
      <w:rFonts w:cs="Tahoma"/>
      <w:sz w:val="16"/>
      <w:szCs w:val="16"/>
    </w:rPr>
  </w:style>
  <w:style w:type="character" w:customStyle="1" w:styleId="BalloonTextChar">
    <w:name w:val="Balloon Text Char"/>
    <w:basedOn w:val="DefaultParagraphFont"/>
    <w:link w:val="BalloonText"/>
    <w:uiPriority w:val="99"/>
    <w:semiHidden/>
    <w:rsid w:val="00C355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Investment Management Association</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Hood</dc:creator>
  <cp:lastModifiedBy>Julie Patterson</cp:lastModifiedBy>
  <cp:revision>2</cp:revision>
  <cp:lastPrinted>2012-10-09T16:19:00Z</cp:lastPrinted>
  <dcterms:created xsi:type="dcterms:W3CDTF">2012-10-10T11:14:00Z</dcterms:created>
  <dcterms:modified xsi:type="dcterms:W3CDTF">2012-10-10T11:14:00Z</dcterms:modified>
</cp:coreProperties>
</file>