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0D" w:rsidRPr="00C50854" w:rsidRDefault="00BB4A0D" w:rsidP="00BB4A0D">
      <w:pPr>
        <w:keepNext/>
        <w:spacing w:before="100" w:beforeAutospacing="1" w:after="100" w:afterAutospacing="1" w:line="360" w:lineRule="auto"/>
        <w:jc w:val="center"/>
        <w:rPr>
          <w:i/>
          <w:noProof/>
        </w:rPr>
      </w:pPr>
      <w:r w:rsidRPr="00C50854">
        <w:rPr>
          <w:i/>
          <w:noProof/>
        </w:rPr>
        <w:t>Compromise amendment on Article 11</w:t>
      </w:r>
      <w:r w:rsidR="003F0D4D">
        <w:rPr>
          <w:rStyle w:val="FootnoteReference"/>
          <w:i/>
          <w:noProof/>
        </w:rPr>
        <w:footnoteReference w:id="1"/>
      </w:r>
    </w:p>
    <w:p w:rsidR="00BB4A0D" w:rsidRDefault="00C05912" w:rsidP="00C05912">
      <w:pPr>
        <w:keepNext/>
        <w:spacing w:after="100" w:afterAutospacing="1" w:line="276" w:lineRule="auto"/>
        <w:contextualSpacing/>
        <w:jc w:val="center"/>
        <w:rPr>
          <w:i/>
          <w:noProof/>
        </w:rPr>
      </w:pPr>
      <w:r>
        <w:rPr>
          <w:i/>
          <w:noProof/>
        </w:rPr>
        <w:t>C</w:t>
      </w:r>
      <w:r w:rsidR="00BB4A0D" w:rsidRPr="00BB4A0D">
        <w:rPr>
          <w:i/>
          <w:noProof/>
        </w:rPr>
        <w:t>overing 4</w:t>
      </w:r>
      <w:r w:rsidR="00BB4A0D">
        <w:rPr>
          <w:i/>
          <w:noProof/>
        </w:rPr>
        <w:t>14</w:t>
      </w:r>
      <w:r>
        <w:rPr>
          <w:i/>
          <w:noProof/>
        </w:rPr>
        <w:t xml:space="preserve"> (Buda),</w:t>
      </w:r>
      <w:r w:rsidR="00BB4A0D">
        <w:rPr>
          <w:i/>
          <w:noProof/>
        </w:rPr>
        <w:t xml:space="preserve"> 415</w:t>
      </w:r>
      <w:r>
        <w:rPr>
          <w:i/>
          <w:noProof/>
        </w:rPr>
        <w:t xml:space="preserve"> (Chrysogonos),</w:t>
      </w:r>
      <w:r w:rsidR="00BB4A0D">
        <w:rPr>
          <w:i/>
          <w:noProof/>
        </w:rPr>
        <w:t xml:space="preserve"> 416</w:t>
      </w:r>
      <w:r>
        <w:rPr>
          <w:i/>
          <w:noProof/>
        </w:rPr>
        <w:t xml:space="preserve"> (Chrysogonos),</w:t>
      </w:r>
      <w:r w:rsidR="00BB4A0D">
        <w:rPr>
          <w:i/>
          <w:noProof/>
        </w:rPr>
        <w:t xml:space="preserve"> 417</w:t>
      </w:r>
      <w:r>
        <w:rPr>
          <w:i/>
          <w:noProof/>
        </w:rPr>
        <w:t xml:space="preserve"> (Didier),</w:t>
      </w:r>
      <w:r w:rsidR="00BB4A0D">
        <w:rPr>
          <w:i/>
          <w:noProof/>
        </w:rPr>
        <w:t xml:space="preserve"> 418</w:t>
      </w:r>
      <w:r>
        <w:rPr>
          <w:i/>
          <w:noProof/>
        </w:rPr>
        <w:t xml:space="preserve"> Chrysogonos),</w:t>
      </w:r>
      <w:r w:rsidR="00BB4A0D">
        <w:rPr>
          <w:i/>
          <w:noProof/>
        </w:rPr>
        <w:t xml:space="preserve"> 419</w:t>
      </w:r>
      <w:r>
        <w:rPr>
          <w:i/>
          <w:noProof/>
        </w:rPr>
        <w:t xml:space="preserve"> Chrysogonos),</w:t>
      </w:r>
      <w:r w:rsidR="00BB4A0D">
        <w:rPr>
          <w:i/>
          <w:noProof/>
        </w:rPr>
        <w:t xml:space="preserve"> 420</w:t>
      </w:r>
      <w:r>
        <w:rPr>
          <w:i/>
          <w:noProof/>
        </w:rPr>
        <w:t xml:space="preserve"> (Didier),</w:t>
      </w:r>
      <w:r w:rsidR="00BB4A0D">
        <w:rPr>
          <w:i/>
          <w:noProof/>
        </w:rPr>
        <w:t xml:space="preserve"> </w:t>
      </w:r>
      <w:r>
        <w:rPr>
          <w:i/>
          <w:noProof/>
        </w:rPr>
        <w:t>421 (Chrysogonos),</w:t>
      </w:r>
      <w:r w:rsidR="00E34FFE">
        <w:rPr>
          <w:i/>
          <w:noProof/>
        </w:rPr>
        <w:t xml:space="preserve"> 42</w:t>
      </w:r>
      <w:r>
        <w:rPr>
          <w:i/>
          <w:noProof/>
        </w:rPr>
        <w:t>2 (Chrysognos),</w:t>
      </w:r>
      <w:r w:rsidR="00E34FFE">
        <w:rPr>
          <w:i/>
          <w:noProof/>
        </w:rPr>
        <w:t xml:space="preserve"> 423</w:t>
      </w:r>
      <w:r>
        <w:rPr>
          <w:i/>
          <w:noProof/>
        </w:rPr>
        <w:t xml:space="preserve"> (Chrysogonos)</w:t>
      </w:r>
      <w:r w:rsidR="002A5FEA">
        <w:rPr>
          <w:i/>
          <w:noProof/>
        </w:rPr>
        <w:t>, 117 (LIBE), 124 (LIBE)</w:t>
      </w:r>
      <w:bookmarkStart w:id="0" w:name="_GoBack"/>
      <w:bookmarkEnd w:id="0"/>
    </w:p>
    <w:p w:rsidR="00C05912" w:rsidRPr="00BB4A0D" w:rsidRDefault="00C05912" w:rsidP="00C05912">
      <w:pPr>
        <w:keepNext/>
        <w:spacing w:after="100" w:afterAutospacing="1" w:line="276" w:lineRule="auto"/>
        <w:contextualSpacing/>
        <w:jc w:val="center"/>
        <w:rPr>
          <w:i/>
          <w:noProof/>
        </w:rPr>
      </w:pPr>
    </w:p>
    <w:p w:rsidR="00BB4A0D" w:rsidRDefault="00BB4A0D" w:rsidP="00BB4A0D">
      <w:pPr>
        <w:keepNext/>
        <w:spacing w:before="100" w:beforeAutospacing="1" w:after="100" w:afterAutospacing="1" w:line="360" w:lineRule="auto"/>
        <w:jc w:val="center"/>
        <w:rPr>
          <w:b/>
          <w:noProof/>
        </w:rPr>
      </w:pPr>
      <w:r>
        <w:rPr>
          <w:b/>
          <w:noProof/>
        </w:rPr>
        <w:t>Record-keeping of reports received</w:t>
      </w:r>
    </w:p>
    <w:p w:rsidR="00BB4A0D" w:rsidRDefault="00BB4A0D" w:rsidP="00BB4A0D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Member States shall ensure that competent authorities keep records of every report received</w:t>
      </w:r>
      <w:r w:rsidRPr="00277594">
        <w:t>,</w:t>
      </w:r>
      <w:r w:rsidRPr="00277594">
        <w:rPr>
          <w:b/>
          <w:i/>
        </w:rPr>
        <w:t xml:space="preserve"> in compliance with the rules regarding confidentiality</w:t>
      </w:r>
      <w:r w:rsidR="002A5FEA">
        <w:rPr>
          <w:b/>
          <w:i/>
        </w:rPr>
        <w:t xml:space="preserve"> as foreseen in this Directive</w:t>
      </w:r>
      <w:r>
        <w:rPr>
          <w:noProof/>
        </w:rPr>
        <w:t>.</w:t>
      </w:r>
      <w:r w:rsidR="002A5FEA">
        <w:rPr>
          <w:noProof/>
        </w:rPr>
        <w:t xml:space="preserve"> </w:t>
      </w:r>
      <w:r w:rsidR="002A5FEA" w:rsidRPr="00FE760C">
        <w:rPr>
          <w:b/>
          <w:i/>
        </w:rPr>
        <w:t xml:space="preserve">The reports will be stored for no longer that is necessary and proportionate for the reporting procedure and </w:t>
      </w:r>
      <w:proofErr w:type="gramStart"/>
      <w:r w:rsidR="002A5FEA" w:rsidRPr="00FE760C">
        <w:rPr>
          <w:b/>
          <w:i/>
        </w:rPr>
        <w:t>shall be deleted</w:t>
      </w:r>
      <w:proofErr w:type="gramEnd"/>
      <w:r w:rsidR="002A5FEA" w:rsidRPr="00FE760C">
        <w:rPr>
          <w:b/>
          <w:i/>
        </w:rPr>
        <w:t xml:space="preserve"> as soon as this procedure is closed. The personal data contained in those reports </w:t>
      </w:r>
      <w:proofErr w:type="gramStart"/>
      <w:r w:rsidR="002A5FEA" w:rsidRPr="00FE760C">
        <w:rPr>
          <w:b/>
          <w:i/>
        </w:rPr>
        <w:t>shall be processed</w:t>
      </w:r>
      <w:proofErr w:type="gramEnd"/>
      <w:r w:rsidR="002A5FEA" w:rsidRPr="00FE760C">
        <w:rPr>
          <w:b/>
          <w:i/>
        </w:rPr>
        <w:t xml:space="preserve"> in accordance with the European data protection laws.</w:t>
      </w:r>
    </w:p>
    <w:p w:rsidR="00BB4A0D" w:rsidRDefault="00BB4A0D" w:rsidP="00BB4A0D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Competent authorities </w:t>
      </w:r>
      <w:r w:rsidR="002A5FEA" w:rsidRPr="00277594">
        <w:rPr>
          <w:b/>
          <w:i/>
        </w:rPr>
        <w:t>and the private and public legal entities</w:t>
      </w:r>
      <w:r w:rsidR="002A5FEA" w:rsidRPr="00277594">
        <w:t xml:space="preserve"> </w:t>
      </w:r>
      <w:r>
        <w:rPr>
          <w:noProof/>
        </w:rPr>
        <w:t>shall promptly acknowledge the receipt of written reports to the postal or electronic address indicated by the reporting person, unless the reporting person explicitly requested otherwise or the competent authority</w:t>
      </w:r>
      <w:r w:rsidR="001F040B">
        <w:rPr>
          <w:noProof/>
        </w:rPr>
        <w:t xml:space="preserve">, </w:t>
      </w:r>
      <w:r w:rsidRPr="001F040B">
        <w:rPr>
          <w:b/>
          <w:i/>
          <w:noProof/>
        </w:rPr>
        <w:t>reasonably believe</w:t>
      </w:r>
      <w:r>
        <w:rPr>
          <w:noProof/>
        </w:rPr>
        <w:t xml:space="preserve"> that acknowledging receipt of a written report would jeopardise the protection of the reporting person’s identity.</w:t>
      </w:r>
    </w:p>
    <w:p w:rsidR="00BB4A0D" w:rsidRDefault="00BB4A0D" w:rsidP="00BB4A0D"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Where a recorded telephone line is used for reporting, subject to the consent of the reporting person, </w:t>
      </w:r>
      <w:r w:rsidRPr="00277594">
        <w:rPr>
          <w:b/>
          <w:i/>
        </w:rPr>
        <w:t xml:space="preserve">and ensuring the necessary confidentiality </w:t>
      </w:r>
      <w:proofErr w:type="gramStart"/>
      <w:r w:rsidRPr="00277594">
        <w:rPr>
          <w:b/>
          <w:i/>
        </w:rPr>
        <w:t>is maintained</w:t>
      </w:r>
      <w:proofErr w:type="gramEnd"/>
      <w:r w:rsidRPr="00BB4A0D">
        <w:t>,</w:t>
      </w:r>
      <w:r>
        <w:rPr>
          <w:noProof/>
        </w:rPr>
        <w:t xml:space="preserve"> the competent </w:t>
      </w:r>
      <w:r w:rsidR="00C50854" w:rsidRPr="00277594">
        <w:rPr>
          <w:b/>
          <w:i/>
        </w:rPr>
        <w:t>authorities and the private and public legal entities</w:t>
      </w:r>
      <w:r w:rsidR="00C50854" w:rsidRPr="00277594">
        <w:t xml:space="preserve"> </w:t>
      </w:r>
      <w:r>
        <w:rPr>
          <w:noProof/>
        </w:rPr>
        <w:t xml:space="preserve">shall </w:t>
      </w:r>
      <w:r w:rsidRPr="00BB4A0D">
        <w:rPr>
          <w:b/>
          <w:strike/>
          <w:noProof/>
        </w:rPr>
        <w:t>have the right to</w:t>
      </w:r>
      <w:r>
        <w:rPr>
          <w:noProof/>
        </w:rPr>
        <w:t xml:space="preserve"> document the oral reporting in one of the following ways:</w:t>
      </w:r>
    </w:p>
    <w:p w:rsidR="00BB4A0D" w:rsidRDefault="00BB4A0D" w:rsidP="00BB4A0D">
      <w:pPr>
        <w:pStyle w:val="Point1"/>
        <w:tabs>
          <w:tab w:val="num" w:pos="0"/>
        </w:tabs>
        <w:ind w:left="0" w:firstLine="0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 recording of the conversation in a durable and retrievable form; </w:t>
      </w:r>
    </w:p>
    <w:p w:rsidR="00BB4A0D" w:rsidRDefault="00BB4A0D" w:rsidP="00BB4A0D">
      <w:pPr>
        <w:pStyle w:val="Point1"/>
        <w:tabs>
          <w:tab w:val="num" w:pos="0"/>
        </w:tabs>
        <w:ind w:left="0" w:firstLine="0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complete and accurate transcript of the conversation prepared by the dedicated staff members of the competent authority. </w:t>
      </w:r>
    </w:p>
    <w:p w:rsidR="00BB4A0D" w:rsidRDefault="00BB4A0D" w:rsidP="00BB4A0D">
      <w:pPr>
        <w:pStyle w:val="Point1"/>
        <w:tabs>
          <w:tab w:val="num" w:pos="0"/>
        </w:tabs>
        <w:ind w:left="0" w:firstLine="0"/>
        <w:rPr>
          <w:noProof/>
        </w:rPr>
      </w:pPr>
      <w:r>
        <w:rPr>
          <w:noProof/>
        </w:rPr>
        <w:t xml:space="preserve">The competent </w:t>
      </w:r>
      <w:r w:rsidR="00C50854" w:rsidRPr="00277594">
        <w:rPr>
          <w:b/>
          <w:i/>
        </w:rPr>
        <w:t>authorities and the public and private legal entities</w:t>
      </w:r>
      <w:r w:rsidR="00C50854" w:rsidRPr="00277594">
        <w:t xml:space="preserve"> </w:t>
      </w:r>
      <w:r>
        <w:rPr>
          <w:noProof/>
        </w:rPr>
        <w:t>shall offer the possibility to the reporting person to check, rectify and agree the transcript of the call by signing it.</w:t>
      </w:r>
    </w:p>
    <w:p w:rsidR="00BB4A0D" w:rsidRDefault="00BB4A0D" w:rsidP="00BB4A0D"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 xml:space="preserve">Where an unrecorded telephone line is used for reporting, the competent </w:t>
      </w:r>
      <w:r w:rsidR="00C50854" w:rsidRPr="00277594">
        <w:rPr>
          <w:b/>
          <w:i/>
        </w:rPr>
        <w:t>authorities and the private and public legal entities</w:t>
      </w:r>
      <w:r w:rsidR="00C50854" w:rsidRPr="00277594">
        <w:t xml:space="preserve"> </w:t>
      </w:r>
      <w:r>
        <w:rPr>
          <w:noProof/>
        </w:rPr>
        <w:t xml:space="preserve">shall </w:t>
      </w:r>
      <w:r w:rsidRPr="00BB4A0D">
        <w:rPr>
          <w:b/>
          <w:strike/>
          <w:noProof/>
        </w:rPr>
        <w:t>have the right to</w:t>
      </w:r>
      <w:r>
        <w:rPr>
          <w:noProof/>
        </w:rPr>
        <w:t xml:space="preserve"> document the oral reporting in the form of accurate minutes of the conversation prepared by the dedicated staff members. The competent </w:t>
      </w:r>
      <w:r w:rsidR="00C50854" w:rsidRPr="00277594">
        <w:rPr>
          <w:b/>
          <w:i/>
        </w:rPr>
        <w:t>authorities and the public and private legal entities</w:t>
      </w:r>
      <w:r w:rsidR="00C50854" w:rsidRPr="00277594">
        <w:t xml:space="preserve"> </w:t>
      </w:r>
      <w:r>
        <w:rPr>
          <w:noProof/>
        </w:rPr>
        <w:t>shall offer the possibility to the reporting person to ch</w:t>
      </w:r>
      <w:r w:rsidR="00C50854">
        <w:rPr>
          <w:noProof/>
        </w:rPr>
        <w:t xml:space="preserve">eck, rectify and agree with </w:t>
      </w:r>
      <w:r w:rsidR="00C50854" w:rsidRPr="00277594">
        <w:rPr>
          <w:b/>
          <w:i/>
        </w:rPr>
        <w:t>the transcript</w:t>
      </w:r>
      <w:r w:rsidR="00C50854" w:rsidRPr="00277594">
        <w:t xml:space="preserve"> </w:t>
      </w:r>
      <w:r>
        <w:rPr>
          <w:noProof/>
        </w:rPr>
        <w:t>of the call by signing them.</w:t>
      </w:r>
      <w:r w:rsidR="00C50854">
        <w:rPr>
          <w:noProof/>
        </w:rPr>
        <w:t xml:space="preserve"> </w:t>
      </w:r>
    </w:p>
    <w:p w:rsidR="00BB4A0D" w:rsidRDefault="00BB4A0D" w:rsidP="00BB4A0D">
      <w:pPr>
        <w:pStyle w:val="ManualNumPar1"/>
        <w:rPr>
          <w:noProof/>
        </w:rPr>
      </w:pPr>
      <w:proofErr w:type="gramStart"/>
      <w:r>
        <w:t>5.</w:t>
      </w:r>
      <w:r>
        <w:tab/>
      </w:r>
      <w:r w:rsidR="001F040B" w:rsidRPr="00277594">
        <w:t xml:space="preserve">Where a person requests a meeting with the dedicated staff members of the competent </w:t>
      </w:r>
      <w:r w:rsidR="001F040B" w:rsidRPr="00277594">
        <w:rPr>
          <w:b/>
          <w:i/>
        </w:rPr>
        <w:t>authorities or the private and public legal entities</w:t>
      </w:r>
      <w:r w:rsidR="001F040B" w:rsidRPr="00277594">
        <w:t xml:space="preserve"> for reporting according to Article 7(2)(c), competent authorities </w:t>
      </w:r>
      <w:r w:rsidR="001F040B" w:rsidRPr="00277594">
        <w:rPr>
          <w:b/>
          <w:i/>
        </w:rPr>
        <w:t>and the private and public legal entities</w:t>
      </w:r>
      <w:r w:rsidR="001F040B" w:rsidRPr="00277594">
        <w:t xml:space="preserve"> shall ensure, subject to the consent of the reporting person, that complete and accurate records of the meeting are kept in a durable and retrievable form.</w:t>
      </w:r>
      <w:proofErr w:type="gramEnd"/>
      <w:r w:rsidR="001F040B" w:rsidRPr="00277594">
        <w:t xml:space="preserve"> Competent </w:t>
      </w:r>
      <w:r w:rsidR="001F040B" w:rsidRPr="00277594">
        <w:rPr>
          <w:b/>
          <w:i/>
        </w:rPr>
        <w:t>authorities and private and public legal entities</w:t>
      </w:r>
      <w:r w:rsidR="001F040B" w:rsidRPr="00277594">
        <w:t xml:space="preserve"> shall have the right to document the records of the meeting in one of the following ways:</w:t>
      </w:r>
    </w:p>
    <w:p w:rsidR="00BB4A0D" w:rsidRDefault="00BB4A0D" w:rsidP="00BB4A0D">
      <w:pPr>
        <w:pStyle w:val="Point1"/>
        <w:tabs>
          <w:tab w:val="num" w:pos="0"/>
        </w:tabs>
        <w:ind w:left="0" w:firstLine="0"/>
        <w:rPr>
          <w:noProof/>
        </w:rPr>
      </w:pPr>
      <w:r>
        <w:rPr>
          <w:noProof/>
        </w:rPr>
        <w:t>a)</w:t>
      </w:r>
      <w:r>
        <w:rPr>
          <w:noProof/>
        </w:rPr>
        <w:tab/>
        <w:t>a recording of the conversation in a durable and retrievable form;</w:t>
      </w:r>
    </w:p>
    <w:p w:rsidR="00BB4A0D" w:rsidRDefault="00BB4A0D" w:rsidP="00BB4A0D">
      <w:pPr>
        <w:pStyle w:val="Point1"/>
        <w:tabs>
          <w:tab w:val="num" w:pos="0"/>
        </w:tabs>
        <w:ind w:left="0" w:firstLine="0"/>
        <w:rPr>
          <w:noProof/>
        </w:rPr>
      </w:pPr>
      <w:r>
        <w:rPr>
          <w:noProof/>
        </w:rPr>
        <w:lastRenderedPageBreak/>
        <w:t>b)</w:t>
      </w:r>
      <w:r>
        <w:rPr>
          <w:noProof/>
        </w:rPr>
        <w:tab/>
        <w:t>accurate minutes of the meeting prepared by the dedicated staff members of the competent authority</w:t>
      </w:r>
      <w:r w:rsidR="001F040B">
        <w:rPr>
          <w:noProof/>
        </w:rPr>
        <w:t xml:space="preserve"> </w:t>
      </w:r>
      <w:r w:rsidR="001F040B" w:rsidRPr="00277594">
        <w:rPr>
          <w:b/>
          <w:i/>
        </w:rPr>
        <w:t>and the private and public legal entities</w:t>
      </w:r>
      <w:r>
        <w:rPr>
          <w:noProof/>
        </w:rPr>
        <w:t xml:space="preserve">. </w:t>
      </w:r>
    </w:p>
    <w:p w:rsidR="00BB4A0D" w:rsidRDefault="00BB4A0D" w:rsidP="00BB4A0D">
      <w:pPr>
        <w:pStyle w:val="Point1"/>
        <w:tabs>
          <w:tab w:val="num" w:pos="0"/>
        </w:tabs>
        <w:ind w:left="0" w:firstLine="0"/>
        <w:rPr>
          <w:noProof/>
        </w:rPr>
      </w:pPr>
      <w:r>
        <w:rPr>
          <w:noProof/>
        </w:rPr>
        <w:t xml:space="preserve">The competent </w:t>
      </w:r>
      <w:r w:rsidR="001F040B" w:rsidRPr="00277594">
        <w:rPr>
          <w:b/>
          <w:i/>
        </w:rPr>
        <w:t>authorities and the public and private legal entities</w:t>
      </w:r>
      <w:r w:rsidR="001F040B" w:rsidRPr="00277594">
        <w:t xml:space="preserve"> </w:t>
      </w:r>
      <w:r>
        <w:rPr>
          <w:noProof/>
        </w:rPr>
        <w:t xml:space="preserve">shall offer the possibility to the reporting person to check, rectify and agree with the </w:t>
      </w:r>
      <w:r w:rsidRPr="00277594">
        <w:rPr>
          <w:b/>
          <w:i/>
        </w:rPr>
        <w:t>transcript</w:t>
      </w:r>
      <w:r w:rsidRPr="00277594">
        <w:t xml:space="preserve"> </w:t>
      </w:r>
      <w:r>
        <w:rPr>
          <w:noProof/>
        </w:rPr>
        <w:t xml:space="preserve">of the meeting by signing </w:t>
      </w:r>
      <w:r w:rsidRPr="00BB4A0D">
        <w:rPr>
          <w:b/>
          <w:i/>
          <w:noProof/>
        </w:rPr>
        <w:t>it</w:t>
      </w:r>
      <w:r>
        <w:rPr>
          <w:noProof/>
        </w:rPr>
        <w:t>.</w:t>
      </w:r>
    </w:p>
    <w:p w:rsidR="002A5FEA" w:rsidRDefault="002A5FEA" w:rsidP="00BB4A0D">
      <w:pPr>
        <w:pStyle w:val="Point1"/>
        <w:tabs>
          <w:tab w:val="num" w:pos="0"/>
        </w:tabs>
        <w:ind w:left="0" w:firstLine="0"/>
        <w:rPr>
          <w:noProof/>
        </w:rPr>
      </w:pPr>
      <w:r w:rsidRPr="00FE760C">
        <w:rPr>
          <w:b/>
          <w:i/>
        </w:rPr>
        <w:t>5a.</w:t>
      </w:r>
      <w:r w:rsidRPr="00FE760C">
        <w:rPr>
          <w:b/>
          <w:i/>
        </w:rPr>
        <w:tab/>
        <w:t xml:space="preserve">The competent authority shall inform in every case the reporting person of the circumstances described in point c) of paragraph 1 of Article 9 if they take place, and send to the reporting person a written justification for the disclosure of the confidential data. The reporting person </w:t>
      </w:r>
      <w:proofErr w:type="gramStart"/>
      <w:r w:rsidRPr="00FE760C">
        <w:rPr>
          <w:b/>
          <w:i/>
        </w:rPr>
        <w:t>shall be offered</w:t>
      </w:r>
      <w:proofErr w:type="gramEnd"/>
      <w:r w:rsidRPr="00FE760C">
        <w:rPr>
          <w:b/>
          <w:i/>
        </w:rPr>
        <w:t xml:space="preserve"> the possibility to check, rectify and agree that these circumstances take place.</w:t>
      </w:r>
    </w:p>
    <w:p w:rsidR="008765BE" w:rsidRDefault="008765BE"/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4D" w:rsidRDefault="003F0D4D" w:rsidP="003F0D4D">
      <w:r>
        <w:separator/>
      </w:r>
    </w:p>
  </w:endnote>
  <w:endnote w:type="continuationSeparator" w:id="0">
    <w:p w:rsidR="003F0D4D" w:rsidRDefault="003F0D4D" w:rsidP="003F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4D" w:rsidRDefault="003F0D4D" w:rsidP="003F0D4D">
      <w:r>
        <w:separator/>
      </w:r>
    </w:p>
  </w:footnote>
  <w:footnote w:type="continuationSeparator" w:id="0">
    <w:p w:rsidR="003F0D4D" w:rsidRDefault="003F0D4D" w:rsidP="003F0D4D">
      <w:r>
        <w:continuationSeparator/>
      </w:r>
    </w:p>
  </w:footnote>
  <w:footnote w:id="1">
    <w:p w:rsidR="003F0D4D" w:rsidRPr="003F0D4D" w:rsidRDefault="003F0D4D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fr-FR"/>
        </w:rPr>
        <w:t>Sharded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competence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LIBE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0D"/>
    <w:rsid w:val="001F040B"/>
    <w:rsid w:val="002A5FEA"/>
    <w:rsid w:val="003F0D4D"/>
    <w:rsid w:val="005762E3"/>
    <w:rsid w:val="008765BE"/>
    <w:rsid w:val="00BB4A0D"/>
    <w:rsid w:val="00C05912"/>
    <w:rsid w:val="00C50854"/>
    <w:rsid w:val="00E3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B46F"/>
  <w15:chartTrackingRefBased/>
  <w15:docId w15:val="{42C8A171-CBDE-4D56-922B-FA829AE2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customStyle="1" w:styleId="Point1">
    <w:name w:val="Point 1"/>
    <w:basedOn w:val="Normal"/>
    <w:rsid w:val="00BB4A0D"/>
    <w:pPr>
      <w:spacing w:before="120" w:after="120"/>
      <w:ind w:left="1417" w:hanging="567"/>
    </w:pPr>
    <w:rPr>
      <w:szCs w:val="22"/>
    </w:rPr>
  </w:style>
  <w:style w:type="paragraph" w:customStyle="1" w:styleId="ManualNumPar1">
    <w:name w:val="Manual NumPar 1"/>
    <w:basedOn w:val="Normal"/>
    <w:next w:val="Normal"/>
    <w:rsid w:val="00BB4A0D"/>
    <w:pPr>
      <w:spacing w:before="120" w:after="120"/>
      <w:ind w:left="850" w:hanging="85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0D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D4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D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81A16-2B53-4F3B-86AC-6BC4230C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BIGER Maxence</dc:creator>
  <cp:keywords/>
  <dc:description/>
  <cp:lastModifiedBy>BIGER Maxence</cp:lastModifiedBy>
  <cp:revision>7</cp:revision>
  <dcterms:created xsi:type="dcterms:W3CDTF">2018-09-27T15:53:00Z</dcterms:created>
  <dcterms:modified xsi:type="dcterms:W3CDTF">2018-11-13T19:43:00Z</dcterms:modified>
</cp:coreProperties>
</file>